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CDCC" w14:textId="39526AC0" w:rsidR="00854FF0" w:rsidRPr="00854FF0" w:rsidRDefault="00A93692" w:rsidP="00854FF0">
      <w:pPr>
        <w:pStyle w:val="OZNPROJEKTUwskazaniedatylubwersjiprojektu"/>
      </w:pPr>
      <w:r>
        <w:t>Projekt z dnia 02.09</w:t>
      </w:r>
      <w:r w:rsidR="003D4A2E">
        <w:t>.2019</w:t>
      </w:r>
      <w:r w:rsidR="008F7DB8">
        <w:t xml:space="preserve"> r.</w:t>
      </w:r>
    </w:p>
    <w:p w14:paraId="0F07D3F1" w14:textId="77777777" w:rsidR="00854FF0" w:rsidRPr="00854FF0" w:rsidRDefault="008F7DB8" w:rsidP="00854FF0">
      <w:pPr>
        <w:pStyle w:val="OZNRODZAKTUtznustawalubrozporzdzenieiorganwydajcy"/>
      </w:pPr>
      <w:r w:rsidRPr="00854FF0">
        <w:t>ROZPORZĄDZENIE</w:t>
      </w:r>
    </w:p>
    <w:p w14:paraId="3A5A8D4F" w14:textId="77777777" w:rsidR="00854FF0" w:rsidRPr="00854FF0" w:rsidRDefault="008F7DB8" w:rsidP="00854FF0">
      <w:pPr>
        <w:pStyle w:val="OZNRODZAKTUtznustawalubrozporzdzenieiorganwydajcy"/>
      </w:pPr>
      <w:r>
        <w:t>MINISTRA ZDROWIA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 w:rsidRPr="00854FF0">
        <w:t xml:space="preserve"> </w:t>
      </w:r>
    </w:p>
    <w:p w14:paraId="3EEBD17D" w14:textId="77777777" w:rsidR="00854FF0" w:rsidRPr="00854FF0" w:rsidRDefault="008F7DB8" w:rsidP="00854FF0">
      <w:pPr>
        <w:pStyle w:val="DATAAKTUdatauchwalenialubwydaniaaktu"/>
      </w:pPr>
      <w:r w:rsidRPr="00854FF0">
        <w:t>z dnia .................... 2018 r.</w:t>
      </w:r>
    </w:p>
    <w:p w14:paraId="77D06E51" w14:textId="77777777" w:rsidR="00854FF0" w:rsidRPr="00854FF0" w:rsidRDefault="008F7DB8" w:rsidP="00854FF0">
      <w:pPr>
        <w:pStyle w:val="TYTUAKTUprzedmiotregulacjiustawylubrozporzdzenia"/>
      </w:pPr>
      <w:r w:rsidRPr="00854FF0">
        <w:t>w sprawie rejestru endoprotezoplastyk</w:t>
      </w:r>
    </w:p>
    <w:p w14:paraId="12250553" w14:textId="77777777" w:rsidR="00854FF0" w:rsidRPr="00854FF0" w:rsidRDefault="001C52D4" w:rsidP="00854FF0"/>
    <w:p w14:paraId="314A0A35" w14:textId="77777777" w:rsidR="00854FF0" w:rsidRPr="00854FF0" w:rsidRDefault="008F7DB8" w:rsidP="00854FF0">
      <w:pPr>
        <w:pStyle w:val="NIEARTTEKSTtekstnieartykuowanynppodstprawnarozplubpreambua"/>
      </w:pPr>
      <w:r w:rsidRPr="00854FF0">
        <w:t xml:space="preserve">Na podstawie art. 20 ust. 1 ustawy z dnia 28 kwietnia </w:t>
      </w:r>
      <w:r>
        <w:t>2011 r. o systemie informacji w </w:t>
      </w:r>
      <w:r w:rsidRPr="00854FF0">
        <w:t>ochronie zdro</w:t>
      </w:r>
      <w:r w:rsidR="003D4A2E">
        <w:t>wia (</w:t>
      </w:r>
      <w:r w:rsidR="003D4A2E" w:rsidRPr="00854FF0">
        <w:t xml:space="preserve">Dz. U. z </w:t>
      </w:r>
      <w:r w:rsidR="003D4A2E">
        <w:t>2019 r. poz. 408 i 730</w:t>
      </w:r>
      <w:r w:rsidRPr="00854FF0">
        <w:t>) zarządza się, co następuje:</w:t>
      </w:r>
    </w:p>
    <w:p w14:paraId="007670EB" w14:textId="77777777" w:rsidR="00854FF0" w:rsidRPr="00854FF0" w:rsidRDefault="008F7DB8" w:rsidP="00854FF0">
      <w:pPr>
        <w:pStyle w:val="ARTartustawynprozporzdzenia"/>
      </w:pPr>
      <w:r w:rsidRPr="00D63594">
        <w:rPr>
          <w:rStyle w:val="Ppogrubienie"/>
        </w:rPr>
        <w:t>§  1.</w:t>
      </w:r>
      <w:r w:rsidRPr="00854FF0">
        <w:t xml:space="preserve"> Rozporządzenie określa:</w:t>
      </w:r>
    </w:p>
    <w:p w14:paraId="5AD69CCB" w14:textId="77777777" w:rsidR="00854FF0" w:rsidRPr="00805380" w:rsidRDefault="008F7DB8" w:rsidP="00805380">
      <w:pPr>
        <w:pStyle w:val="PKTpunkt"/>
      </w:pPr>
      <w:r w:rsidRPr="00805380">
        <w:t xml:space="preserve">1) podmiot prowadzący rejestr endoprotezoplastyk, zwany dalej „rejestrem”; </w:t>
      </w:r>
    </w:p>
    <w:p w14:paraId="764A0524" w14:textId="77777777" w:rsidR="00854FF0" w:rsidRPr="00805380" w:rsidRDefault="008F7DB8" w:rsidP="00805380">
      <w:pPr>
        <w:pStyle w:val="PKTpunkt"/>
      </w:pPr>
      <w:r w:rsidRPr="00805380">
        <w:t>2) sposób prowadzenia rejestru;</w:t>
      </w:r>
    </w:p>
    <w:p w14:paraId="10B422E1" w14:textId="77777777" w:rsidR="00854FF0" w:rsidRPr="00805380" w:rsidRDefault="008F7DB8" w:rsidP="00805380">
      <w:pPr>
        <w:pStyle w:val="PKTpunkt"/>
      </w:pPr>
      <w:r w:rsidRPr="00805380">
        <w:t>3) usługodawców obowiązanych do przekazywania danych do rejestru oraz sposób i termin przekazywania danych przez usługodawców do rejestru;</w:t>
      </w:r>
    </w:p>
    <w:p w14:paraId="69AABB52" w14:textId="77777777" w:rsidR="00854FF0" w:rsidRPr="00805380" w:rsidRDefault="008F7DB8" w:rsidP="00805380">
      <w:pPr>
        <w:pStyle w:val="PKTpunkt"/>
      </w:pPr>
      <w:r w:rsidRPr="00805380">
        <w:t>4) zakres i rodzaj danych przetwarzanych w rejestrze spośród danych określonych w art. 4 ust.</w:t>
      </w:r>
      <w:r>
        <w:t> </w:t>
      </w:r>
      <w:r w:rsidRPr="00805380">
        <w:t>3 ustawy z dnia 28 kwietnia 2011 r. o systemie informacji w ochronie zdrowia, zwanej dalej „ustawą”;</w:t>
      </w:r>
    </w:p>
    <w:p w14:paraId="55E131B9" w14:textId="77777777" w:rsidR="00854FF0" w:rsidRPr="00805380" w:rsidRDefault="008F7DB8" w:rsidP="00805380">
      <w:pPr>
        <w:pStyle w:val="PKTpunkt"/>
      </w:pPr>
      <w:r w:rsidRPr="00805380">
        <w:t>5) rodzaje identyfikatorów przetwarzanych w rejestrze spośród identyfikatorów określonych w art. 17c ust. 2-5 ustawy.</w:t>
      </w:r>
    </w:p>
    <w:p w14:paraId="3B3D667E" w14:textId="77777777" w:rsidR="00854FF0" w:rsidRPr="00854FF0" w:rsidRDefault="008F7DB8" w:rsidP="00854FF0">
      <w:pPr>
        <w:pStyle w:val="ARTartustawynprozporzdzenia"/>
      </w:pPr>
      <w:r w:rsidRPr="00D63594">
        <w:rPr>
          <w:rStyle w:val="Ppogrubienie"/>
        </w:rPr>
        <w:t>§ 2</w:t>
      </w:r>
      <w:r w:rsidRPr="00854FF0">
        <w:t>. 1.</w:t>
      </w:r>
      <w:r w:rsidRPr="00854FF0">
        <w:tab/>
        <w:t>Tworzy się rejestr endoprotezoplastyk.</w:t>
      </w:r>
    </w:p>
    <w:p w14:paraId="3D91B2E9" w14:textId="77777777" w:rsidR="00854FF0" w:rsidRPr="00854FF0" w:rsidRDefault="008F7DB8" w:rsidP="00854FF0">
      <w:pPr>
        <w:pStyle w:val="USTustnpkodeksu"/>
      </w:pPr>
      <w:r w:rsidRPr="00854FF0">
        <w:t>2.</w:t>
      </w:r>
      <w:r w:rsidRPr="00854FF0">
        <w:tab/>
        <w:t xml:space="preserve">Podmiotem prowadzącym rejestr jest Narodowy Fundusz Zdrowia. </w:t>
      </w:r>
    </w:p>
    <w:p w14:paraId="198964E5" w14:textId="77777777" w:rsidR="00E42744" w:rsidRDefault="008F7DB8" w:rsidP="00E42744">
      <w:pPr>
        <w:pStyle w:val="ARTartustawynprozporzdzenia"/>
      </w:pPr>
      <w:r w:rsidRPr="00D63594">
        <w:rPr>
          <w:rStyle w:val="Ppogrubienie"/>
        </w:rPr>
        <w:t>§ 3.</w:t>
      </w:r>
      <w:r w:rsidRPr="00854FF0">
        <w:t xml:space="preserve"> 1. Rejestr jest prowadzony z wykorzystaniem systemu teleinformatycznego</w:t>
      </w:r>
      <w:r w:rsidR="00E42744">
        <w:t>.</w:t>
      </w:r>
    </w:p>
    <w:p w14:paraId="46F06D46" w14:textId="77777777" w:rsidR="000C5BE5" w:rsidRDefault="008F7DB8" w:rsidP="00805380">
      <w:pPr>
        <w:pStyle w:val="ARTartustawynprozporzdzenia"/>
      </w:pPr>
      <w:r w:rsidRPr="00D63594">
        <w:rPr>
          <w:rStyle w:val="Ppogrubienie"/>
        </w:rPr>
        <w:t>§ 4.</w:t>
      </w:r>
      <w:r w:rsidR="00E42744">
        <w:t xml:space="preserve"> </w:t>
      </w:r>
      <w:r w:rsidRPr="00805380">
        <w:t>Do przekazywania danych do rejestru są obowiązani</w:t>
      </w:r>
      <w:r>
        <w:t>:</w:t>
      </w:r>
    </w:p>
    <w:p w14:paraId="109CE63B" w14:textId="77777777" w:rsidR="00854FF0" w:rsidRPr="00805380" w:rsidRDefault="008F7DB8" w:rsidP="00854B98">
      <w:pPr>
        <w:pStyle w:val="PKTpunkt"/>
      </w:pPr>
      <w:r>
        <w:t>1)</w:t>
      </w:r>
      <w:r w:rsidRPr="00805380">
        <w:t xml:space="preserve"> usługodawcy wykonujący następujące świadczenia opieki zdrowotnej:</w:t>
      </w:r>
    </w:p>
    <w:p w14:paraId="6E392A11" w14:textId="77777777" w:rsidR="00854FF0" w:rsidRPr="00805380" w:rsidRDefault="008F7DB8" w:rsidP="00854B98">
      <w:pPr>
        <w:pStyle w:val="LITlitera"/>
      </w:pPr>
      <w:r>
        <w:t>a</w:t>
      </w:r>
      <w:r w:rsidRPr="00805380">
        <w:t xml:space="preserve">) endoprotezoplastykę łokcia, </w:t>
      </w:r>
    </w:p>
    <w:p w14:paraId="220FB6B4" w14:textId="77777777" w:rsidR="00854FF0" w:rsidRPr="00805380" w:rsidRDefault="008F7DB8" w:rsidP="00854B98">
      <w:pPr>
        <w:pStyle w:val="LITlitera"/>
      </w:pPr>
      <w:r>
        <w:t>b</w:t>
      </w:r>
      <w:r w:rsidRPr="00805380">
        <w:t xml:space="preserve">) </w:t>
      </w:r>
      <w:r>
        <w:t>endoprotezoplastykę barku,</w:t>
      </w:r>
    </w:p>
    <w:p w14:paraId="4FE0D9DA" w14:textId="77777777" w:rsidR="00854FF0" w:rsidRPr="00805380" w:rsidRDefault="008F7DB8" w:rsidP="00854B98">
      <w:pPr>
        <w:pStyle w:val="LITlitera"/>
      </w:pPr>
      <w:r>
        <w:t>c</w:t>
      </w:r>
      <w:r w:rsidRPr="00805380">
        <w:t>)</w:t>
      </w:r>
      <w:r>
        <w:t xml:space="preserve"> endoprotezoplastykę nadgarstka,</w:t>
      </w:r>
    </w:p>
    <w:p w14:paraId="00125E76" w14:textId="77777777" w:rsidR="00854FF0" w:rsidRPr="00805380" w:rsidRDefault="008F7DB8" w:rsidP="00854B98">
      <w:pPr>
        <w:pStyle w:val="LITlitera"/>
      </w:pPr>
      <w:r>
        <w:t>d</w:t>
      </w:r>
      <w:r w:rsidRPr="00805380">
        <w:t xml:space="preserve">) endoprotezoplastykę stawu </w:t>
      </w:r>
      <w:r>
        <w:t>skokowo-goleniowego,</w:t>
      </w:r>
    </w:p>
    <w:p w14:paraId="5BBE754F" w14:textId="77777777" w:rsidR="00854FF0" w:rsidRPr="00805380" w:rsidRDefault="008F7DB8" w:rsidP="00854B98">
      <w:pPr>
        <w:pStyle w:val="LITlitera"/>
      </w:pPr>
      <w:r>
        <w:lastRenderedPageBreak/>
        <w:t>e</w:t>
      </w:r>
      <w:r w:rsidRPr="00805380">
        <w:t xml:space="preserve">) </w:t>
      </w:r>
      <w:r>
        <w:t>endoprotezoplastykę kolana,</w:t>
      </w:r>
    </w:p>
    <w:p w14:paraId="34A74A7E" w14:textId="77777777" w:rsidR="00854FF0" w:rsidRPr="00805380" w:rsidRDefault="008F7DB8" w:rsidP="00854B98">
      <w:pPr>
        <w:pStyle w:val="LITlitera"/>
      </w:pPr>
      <w:r>
        <w:t>f</w:t>
      </w:r>
      <w:r w:rsidRPr="00805380">
        <w:t>) endop</w:t>
      </w:r>
      <w:r>
        <w:t>rotezoplastykę stawu biodrowego,</w:t>
      </w:r>
    </w:p>
    <w:p w14:paraId="10E18F61" w14:textId="77777777" w:rsidR="00854FF0" w:rsidRPr="00805380" w:rsidRDefault="008F7DB8" w:rsidP="00854B98">
      <w:pPr>
        <w:pStyle w:val="LITlitera"/>
      </w:pPr>
      <w:r>
        <w:t>g</w:t>
      </w:r>
      <w:r w:rsidRPr="00805380">
        <w:t>) endoprotezoplastykę drobnych s</w:t>
      </w:r>
      <w:r>
        <w:t>tawów w obrębie dłoni lub stopy,</w:t>
      </w:r>
    </w:p>
    <w:p w14:paraId="38463A48" w14:textId="77777777" w:rsidR="00854FF0" w:rsidRPr="00805380" w:rsidRDefault="008F7DB8" w:rsidP="00854B98">
      <w:pPr>
        <w:pStyle w:val="LITlitera"/>
      </w:pPr>
      <w:r>
        <w:t>h</w:t>
      </w:r>
      <w:r w:rsidRPr="00805380">
        <w:t>) zabiegi operacyjne rewizyjne, w szczególności z powodu aseptycznego obluzowania lub z towarzys</w:t>
      </w:r>
      <w:r>
        <w:t>zącym złamaniem okołoprotezowym,</w:t>
      </w:r>
    </w:p>
    <w:p w14:paraId="79369EEA" w14:textId="77777777" w:rsidR="00854FF0" w:rsidRPr="00805380" w:rsidRDefault="008F7DB8" w:rsidP="00854B98">
      <w:pPr>
        <w:pStyle w:val="LITlitera"/>
      </w:pPr>
      <w:r>
        <w:t>i</w:t>
      </w:r>
      <w:r w:rsidRPr="00805380">
        <w:t>) zabiegi operacyjne rewizyjne w prz</w:t>
      </w:r>
      <w:r>
        <w:t>ypadkach infekcji wokół protezy,</w:t>
      </w:r>
    </w:p>
    <w:p w14:paraId="3F7B7124" w14:textId="77777777" w:rsidR="00854FF0" w:rsidRPr="00805380" w:rsidRDefault="008F7DB8" w:rsidP="00854B98">
      <w:pPr>
        <w:pStyle w:val="LITlitera"/>
      </w:pPr>
      <w:r>
        <w:t>j</w:t>
      </w:r>
      <w:r w:rsidRPr="00805380">
        <w:t xml:space="preserve">) zabiegi resekcyjne zmian nowotworowych lub guzowatych z endoprotezoplastyką lub zabieg rewizyjny </w:t>
      </w:r>
      <w:r>
        <w:t>z użyciem protez poresekcyjnych,</w:t>
      </w:r>
    </w:p>
    <w:p w14:paraId="7DB04EE9" w14:textId="77777777" w:rsidR="00624D19" w:rsidRDefault="008F7DB8" w:rsidP="00624D19">
      <w:pPr>
        <w:pStyle w:val="LITlitera"/>
      </w:pPr>
      <w:r>
        <w:t>k</w:t>
      </w:r>
      <w:r w:rsidR="00624D19">
        <w:t xml:space="preserve">) </w:t>
      </w:r>
      <w:r w:rsidRPr="00805380">
        <w:t>zabiegi wszczepienia implantów czasowych uwalniających antybiotyki w lec</w:t>
      </w:r>
      <w:r w:rsidR="00624D19">
        <w:t>zeniu infekcji okołoprotezowych,</w:t>
      </w:r>
    </w:p>
    <w:p w14:paraId="6FD042DE" w14:textId="77777777" w:rsidR="00624D19" w:rsidRDefault="00624D19" w:rsidP="00624D19">
      <w:pPr>
        <w:pStyle w:val="LITlitera"/>
      </w:pPr>
      <w:r>
        <w:t>l) artroplastykę</w:t>
      </w:r>
      <w:r w:rsidRPr="00624D19">
        <w:t xml:space="preserve"> nadgarstka/śródręcza (wszczep), </w:t>
      </w:r>
    </w:p>
    <w:p w14:paraId="23A2332A" w14:textId="77777777" w:rsidR="00624D19" w:rsidRDefault="00624D19" w:rsidP="00624D19">
      <w:pPr>
        <w:pStyle w:val="LITlitera"/>
      </w:pPr>
      <w:r>
        <w:t>ł) artroplastykę śródręczno-paliczkową</w:t>
      </w:r>
      <w:r w:rsidRPr="00624D19">
        <w:t xml:space="preserve"> lub między</w:t>
      </w:r>
      <w:r>
        <w:t xml:space="preserve">paliczkową </w:t>
      </w:r>
      <w:r w:rsidRPr="00624D19">
        <w:t xml:space="preserve">(wszczep), </w:t>
      </w:r>
    </w:p>
    <w:p w14:paraId="2091971F" w14:textId="77777777" w:rsidR="00624D19" w:rsidRPr="00624D19" w:rsidRDefault="00624D19" w:rsidP="00624D19">
      <w:pPr>
        <w:pStyle w:val="LITlitera"/>
      </w:pPr>
      <w:r>
        <w:t>m</w:t>
      </w:r>
      <w:r w:rsidRPr="00624D19">
        <w:t>) c</w:t>
      </w:r>
      <w:r w:rsidRPr="00624D19">
        <w:rPr>
          <w:rStyle w:val="Pogrubienie"/>
          <w:b w:val="0"/>
        </w:rPr>
        <w:t>ałkowitą rewizję po artroplastyce stawu barkowego,</w:t>
      </w:r>
      <w:r w:rsidRPr="00624D19">
        <w:t xml:space="preserve"> </w:t>
      </w:r>
    </w:p>
    <w:p w14:paraId="0C5F30F8" w14:textId="77777777" w:rsidR="00624D19" w:rsidRPr="00624D19" w:rsidRDefault="00624D19" w:rsidP="00624D19">
      <w:pPr>
        <w:pStyle w:val="LITlitera"/>
      </w:pPr>
      <w:r>
        <w:rPr>
          <w:rStyle w:val="Pogrubienie"/>
          <w:b w:val="0"/>
        </w:rPr>
        <w:t>n</w:t>
      </w:r>
      <w:r w:rsidRPr="00624D19">
        <w:rPr>
          <w:rStyle w:val="Pogrubienie"/>
          <w:b w:val="0"/>
        </w:rPr>
        <w:t>) częściową rewizję po artroplastyce stawu barkowego,</w:t>
      </w:r>
      <w:r w:rsidRPr="00624D19">
        <w:t xml:space="preserve"> </w:t>
      </w:r>
    </w:p>
    <w:p w14:paraId="3AE6501E" w14:textId="77777777" w:rsidR="00624D19" w:rsidRPr="00624D19" w:rsidRDefault="00624D19" w:rsidP="00624D19">
      <w:pPr>
        <w:pStyle w:val="LITlitera"/>
      </w:pPr>
      <w:r>
        <w:t>o</w:t>
      </w:r>
      <w:r w:rsidRPr="00624D19">
        <w:t>) c</w:t>
      </w:r>
      <w:r w:rsidRPr="00624D19">
        <w:rPr>
          <w:rStyle w:val="Pogrubienie"/>
          <w:b w:val="0"/>
        </w:rPr>
        <w:t>ałkowitą rewizję po artroplastyce stawu łokciowego,</w:t>
      </w:r>
      <w:r w:rsidRPr="00624D19">
        <w:t xml:space="preserve"> </w:t>
      </w:r>
    </w:p>
    <w:p w14:paraId="309C6751" w14:textId="77777777" w:rsidR="00624D19" w:rsidRPr="00624D19" w:rsidRDefault="00624D19" w:rsidP="00624D19">
      <w:pPr>
        <w:pStyle w:val="LITlitera"/>
        <w:rPr>
          <w:rStyle w:val="Pogrubienie"/>
          <w:b w:val="0"/>
        </w:rPr>
      </w:pPr>
      <w:r>
        <w:t>p</w:t>
      </w:r>
      <w:r w:rsidRPr="00624D19">
        <w:t>) c</w:t>
      </w:r>
      <w:r w:rsidRPr="00624D19">
        <w:rPr>
          <w:rStyle w:val="Pogrubienie"/>
          <w:b w:val="0"/>
        </w:rPr>
        <w:t>zęściową rewizję po artroplastyce stawu łokciowego,</w:t>
      </w:r>
    </w:p>
    <w:p w14:paraId="7B344EC9" w14:textId="77777777" w:rsidR="00624D19" w:rsidRPr="00624D19" w:rsidRDefault="00624D19" w:rsidP="00624D19">
      <w:pPr>
        <w:pStyle w:val="LITlitera"/>
        <w:rPr>
          <w:rStyle w:val="Pogrubienie"/>
          <w:b w:val="0"/>
        </w:rPr>
      </w:pPr>
      <w:r>
        <w:t>r</w:t>
      </w:r>
      <w:r w:rsidRPr="00624D19">
        <w:t>) r</w:t>
      </w:r>
      <w:r w:rsidRPr="00624D19">
        <w:rPr>
          <w:rStyle w:val="Pogrubienie"/>
          <w:b w:val="0"/>
        </w:rPr>
        <w:t>ewizję po artroplastyce stawu barkowego,</w:t>
      </w:r>
    </w:p>
    <w:p w14:paraId="20BF7659" w14:textId="77777777" w:rsidR="00624D19" w:rsidRPr="00624D19" w:rsidRDefault="00624D19" w:rsidP="00624D19">
      <w:pPr>
        <w:pStyle w:val="LITlitera"/>
      </w:pPr>
      <w:r>
        <w:t>s</w:t>
      </w:r>
      <w:r w:rsidRPr="00624D19">
        <w:t>) r</w:t>
      </w:r>
      <w:r w:rsidRPr="00624D19">
        <w:rPr>
          <w:rStyle w:val="Pogrubienie"/>
          <w:b w:val="0"/>
        </w:rPr>
        <w:t>ewizję</w:t>
      </w:r>
      <w:r w:rsidRPr="00624D19">
        <w:t xml:space="preserve"> po artroplastyce stawu łokciowego.</w:t>
      </w:r>
    </w:p>
    <w:p w14:paraId="6C2BFB96" w14:textId="77777777" w:rsidR="000C5BE5" w:rsidRPr="00DD4740" w:rsidRDefault="008F7DB8" w:rsidP="00854B98">
      <w:pPr>
        <w:pStyle w:val="PKTpunkt"/>
      </w:pPr>
      <w:r w:rsidRPr="000C5BE5">
        <w:t>2) usługo</w:t>
      </w:r>
      <w:r w:rsidRPr="00DD4740">
        <w:t xml:space="preserve">dawcy wystawiający skierowania na zabieg endoprotezoplastyki, w zakresie danych o których mowa w § 5 pkt </w:t>
      </w:r>
      <w:r>
        <w:t>3 lit. w, pkt 4, pkt 5 i pkt 6 lit. a</w:t>
      </w:r>
      <w:r w:rsidRPr="00DD4740">
        <w:t>;</w:t>
      </w:r>
    </w:p>
    <w:p w14:paraId="6E5F9FBA" w14:textId="77777777" w:rsidR="000C5BE5" w:rsidRDefault="006F5D06" w:rsidP="00854B98">
      <w:pPr>
        <w:pStyle w:val="PKTpunkt"/>
      </w:pPr>
      <w:r>
        <w:t>3) usługodawcy wykonujący hospitalizację, badanie</w:t>
      </w:r>
      <w:r w:rsidRPr="00805380">
        <w:t>, porad</w:t>
      </w:r>
      <w:r>
        <w:t>ę lub kontrolę związane z wszczepioną lub wymienioną endoprotezą lub schorzeniem będącym podstawą skierowania na zabieg,</w:t>
      </w:r>
      <w:r w:rsidRPr="00862B6D">
        <w:t xml:space="preserve"> </w:t>
      </w:r>
      <w:r w:rsidR="008F7DB8" w:rsidRPr="00862B6D">
        <w:t xml:space="preserve">w zakresie danych </w:t>
      </w:r>
      <w:r w:rsidR="008F7DB8">
        <w:t xml:space="preserve">określonych w § 5, </w:t>
      </w:r>
      <w:r w:rsidR="008F7DB8" w:rsidRPr="003C1A7E">
        <w:t>stosownie do charakteru wykonywanego świadczenia</w:t>
      </w:r>
      <w:r w:rsidR="008F7DB8">
        <w:t>;</w:t>
      </w:r>
    </w:p>
    <w:p w14:paraId="657F94AF" w14:textId="77777777" w:rsidR="00854B98" w:rsidRDefault="008F7DB8" w:rsidP="00854B98">
      <w:pPr>
        <w:pStyle w:val="PKTpunkt"/>
      </w:pPr>
      <w:r>
        <w:t>4) p</w:t>
      </w:r>
      <w:r w:rsidR="00C45A29">
        <w:t>odmioty, które przeprowadziły badanie sekcyjne</w:t>
      </w:r>
      <w:r w:rsidR="00C45A29" w:rsidRPr="00862B6D">
        <w:t xml:space="preserve"> wszczepionej endoprotezy</w:t>
      </w:r>
      <w:r>
        <w:t xml:space="preserve">, w zakresie danych określonych w </w:t>
      </w:r>
      <w:r w:rsidRPr="00854B98">
        <w:t>§ 5</w:t>
      </w:r>
      <w:r>
        <w:t xml:space="preserve"> pkt 3 lit. t oraz w zakresie:</w:t>
      </w:r>
    </w:p>
    <w:p w14:paraId="6A77EFFD" w14:textId="77777777" w:rsidR="00854B98" w:rsidRPr="00854B98" w:rsidRDefault="008F7DB8" w:rsidP="00854B98">
      <w:pPr>
        <w:pStyle w:val="LITlitera"/>
      </w:pPr>
      <w:r>
        <w:t xml:space="preserve">a) </w:t>
      </w:r>
      <w:r w:rsidRPr="00854B98">
        <w:t>identyfikator</w:t>
      </w:r>
      <w:r>
        <w:t>a</w:t>
      </w:r>
      <w:r w:rsidRPr="00854B98">
        <w:t xml:space="preserve"> usługodawcy</w:t>
      </w:r>
      <w:r>
        <w:t>,</w:t>
      </w:r>
      <w:r w:rsidRPr="00854B98">
        <w:t xml:space="preserve"> o którym mowa w art. 17c ust. 3 pkt 1</w:t>
      </w:r>
      <w:r>
        <w:t xml:space="preserve"> ustawy,</w:t>
      </w:r>
    </w:p>
    <w:p w14:paraId="163EA4C3" w14:textId="77777777" w:rsidR="00854B98" w:rsidRPr="00854B98" w:rsidRDefault="008F7DB8" w:rsidP="00854B98">
      <w:pPr>
        <w:pStyle w:val="LITlitera"/>
      </w:pPr>
      <w:r>
        <w:t xml:space="preserve">b) </w:t>
      </w:r>
      <w:r w:rsidRPr="00854B98">
        <w:t>identyfikator</w:t>
      </w:r>
      <w:r>
        <w:t>a</w:t>
      </w:r>
      <w:r w:rsidRPr="00854B98">
        <w:t xml:space="preserve"> miejsca </w:t>
      </w:r>
      <w:r>
        <w:t>przeprowadzenia badania sekcyjnego</w:t>
      </w:r>
      <w:r w:rsidRPr="00854B98">
        <w:t>, o którym mowa</w:t>
      </w:r>
      <w:r>
        <w:t xml:space="preserve"> w art. 17c ust. 4 pkt 1 ustawy,</w:t>
      </w:r>
    </w:p>
    <w:p w14:paraId="7C439D3C" w14:textId="77777777" w:rsidR="00854B98" w:rsidRDefault="008F7DB8" w:rsidP="00854B98">
      <w:pPr>
        <w:pStyle w:val="LITlitera"/>
      </w:pPr>
      <w:r>
        <w:t xml:space="preserve">c) </w:t>
      </w:r>
      <w:r w:rsidRPr="00854B98">
        <w:t>identyfikator</w:t>
      </w:r>
      <w:r>
        <w:t>a</w:t>
      </w:r>
      <w:r w:rsidRPr="00854B98">
        <w:t xml:space="preserve"> pracownika medycznego, o którym mowa w art. 17c ust. 5 ustawy, który</w:t>
      </w:r>
      <w:r>
        <w:t>:</w:t>
      </w:r>
    </w:p>
    <w:p w14:paraId="48F4032D" w14:textId="77777777" w:rsidR="00854B98" w:rsidRDefault="008F7DB8" w:rsidP="00854B98">
      <w:pPr>
        <w:pStyle w:val="TIRtiret"/>
      </w:pPr>
      <w:r>
        <w:t xml:space="preserve">- </w:t>
      </w:r>
      <w:r w:rsidRPr="00854B98">
        <w:t>wprowadził dane do rejestru,</w:t>
      </w:r>
      <w:r>
        <w:t xml:space="preserve"> </w:t>
      </w:r>
    </w:p>
    <w:p w14:paraId="542AC344" w14:textId="77777777" w:rsidR="00854B98" w:rsidRPr="00DD4740" w:rsidRDefault="008F7DB8" w:rsidP="00854B98">
      <w:pPr>
        <w:pStyle w:val="TIRtiret"/>
      </w:pPr>
      <w:r>
        <w:t xml:space="preserve">- </w:t>
      </w:r>
      <w:r w:rsidRPr="00854B98">
        <w:t xml:space="preserve">wykonał </w:t>
      </w:r>
      <w:r>
        <w:t>badanie sekcyjne</w:t>
      </w:r>
      <w:r w:rsidRPr="00854B98">
        <w:t>.</w:t>
      </w:r>
    </w:p>
    <w:p w14:paraId="0791F374" w14:textId="77777777" w:rsidR="00854FF0" w:rsidRPr="00805380" w:rsidRDefault="008F7DB8" w:rsidP="00805380">
      <w:pPr>
        <w:pStyle w:val="ARTartustawynprozporzdzenia"/>
      </w:pPr>
      <w:r w:rsidRPr="00D63594">
        <w:rPr>
          <w:rStyle w:val="Ppogrubienie"/>
        </w:rPr>
        <w:t>§ 5.</w:t>
      </w:r>
      <w:r w:rsidRPr="00805380">
        <w:t xml:space="preserve"> W rejestrze przetwarza się dane i identyfikatory obejmujące:</w:t>
      </w:r>
    </w:p>
    <w:p w14:paraId="05356443" w14:textId="77777777" w:rsidR="00854FF0" w:rsidRPr="00805380" w:rsidRDefault="008F7DB8" w:rsidP="00805380">
      <w:pPr>
        <w:pStyle w:val="PKTpunkt"/>
      </w:pPr>
      <w:r>
        <w:t xml:space="preserve">1) </w:t>
      </w:r>
      <w:r w:rsidRPr="00805380">
        <w:t>dane osobowe dotyczące usługobiorcy:</w:t>
      </w:r>
    </w:p>
    <w:p w14:paraId="6C541DE0" w14:textId="77777777" w:rsidR="00854FF0" w:rsidRPr="00805380" w:rsidRDefault="008F7DB8" w:rsidP="00805380">
      <w:pPr>
        <w:pStyle w:val="LITlitera"/>
      </w:pPr>
      <w:r>
        <w:t xml:space="preserve">a) </w:t>
      </w:r>
      <w:r w:rsidRPr="00805380">
        <w:t>imię (imiona) i nazwisko,</w:t>
      </w:r>
    </w:p>
    <w:p w14:paraId="720B1BC6" w14:textId="77777777" w:rsidR="00854FF0" w:rsidRPr="00805380" w:rsidRDefault="008F7DB8" w:rsidP="00805380">
      <w:pPr>
        <w:pStyle w:val="LITlitera"/>
      </w:pPr>
      <w:r>
        <w:t xml:space="preserve">b) </w:t>
      </w:r>
      <w:r w:rsidRPr="00805380">
        <w:t>płeć,</w:t>
      </w:r>
    </w:p>
    <w:p w14:paraId="2F356F72" w14:textId="77777777" w:rsidR="00854FF0" w:rsidRPr="00805380" w:rsidRDefault="008F7DB8" w:rsidP="00805380">
      <w:pPr>
        <w:pStyle w:val="LITlitera"/>
      </w:pPr>
      <w:r>
        <w:t xml:space="preserve">c) </w:t>
      </w:r>
      <w:r w:rsidRPr="00805380">
        <w:t>obywatelstwo,</w:t>
      </w:r>
    </w:p>
    <w:p w14:paraId="30012D46" w14:textId="77777777" w:rsidR="00854FF0" w:rsidRPr="00805380" w:rsidRDefault="008F7DB8" w:rsidP="00805380">
      <w:pPr>
        <w:pStyle w:val="LITlitera"/>
      </w:pPr>
      <w:r>
        <w:t xml:space="preserve">d) </w:t>
      </w:r>
      <w:r w:rsidRPr="00805380">
        <w:t xml:space="preserve">numer PESEL, a w przypadku osób, które nie mają nadanego numeru PESEL – </w:t>
      </w:r>
      <w:r>
        <w:t xml:space="preserve">seria i </w:t>
      </w:r>
      <w:r w:rsidRPr="00805380">
        <w:t>numer paszportu, albo innego dokumentu stwierdzającego tożsamość,</w:t>
      </w:r>
    </w:p>
    <w:p w14:paraId="3832AD7F" w14:textId="77777777" w:rsidR="00854FF0" w:rsidRPr="00805380" w:rsidRDefault="008F7DB8" w:rsidP="00805380">
      <w:pPr>
        <w:pStyle w:val="LITlitera"/>
      </w:pPr>
      <w:r>
        <w:t xml:space="preserve">e) </w:t>
      </w:r>
      <w:r w:rsidRPr="00805380">
        <w:t>datę urodzenia,</w:t>
      </w:r>
    </w:p>
    <w:p w14:paraId="0B36BD87" w14:textId="77777777" w:rsidR="00854FF0" w:rsidRPr="00805380" w:rsidRDefault="008F7DB8" w:rsidP="00805380">
      <w:pPr>
        <w:pStyle w:val="LITlitera"/>
      </w:pPr>
      <w:r>
        <w:t xml:space="preserve">f) </w:t>
      </w:r>
      <w:r w:rsidRPr="00805380">
        <w:t>adres miejsca zamieszkania lub adres do korespondencji,</w:t>
      </w:r>
    </w:p>
    <w:p w14:paraId="4E119618" w14:textId="77777777" w:rsidR="00854FF0" w:rsidRPr="00805380" w:rsidRDefault="008F7DB8" w:rsidP="00805380">
      <w:pPr>
        <w:pStyle w:val="LITlitera"/>
      </w:pPr>
      <w:r>
        <w:t xml:space="preserve">g) </w:t>
      </w:r>
      <w:r w:rsidR="00E0380B" w:rsidRPr="00E0380B">
        <w:t xml:space="preserve">numer telefonu kontaktowego lub </w:t>
      </w:r>
      <w:r w:rsidR="00E0380B">
        <w:t>adres poczty elektronicznej, jeże</w:t>
      </w:r>
      <w:r w:rsidR="00E0380B" w:rsidRPr="00E0380B">
        <w:t>li został wskazany</w:t>
      </w:r>
      <w:r w:rsidRPr="00805380">
        <w:t>,</w:t>
      </w:r>
    </w:p>
    <w:p w14:paraId="13B7FD73" w14:textId="77777777" w:rsidR="003C1A7E" w:rsidRDefault="008F7DB8" w:rsidP="00805380">
      <w:pPr>
        <w:pStyle w:val="LITlitera"/>
      </w:pPr>
      <w:r>
        <w:t xml:space="preserve">h) </w:t>
      </w:r>
      <w:r w:rsidRPr="00805380">
        <w:t>datę zgonu</w:t>
      </w:r>
      <w:r>
        <w:t>,</w:t>
      </w:r>
    </w:p>
    <w:p w14:paraId="1482D961" w14:textId="6F33095F" w:rsidR="00854FF0" w:rsidRPr="00805380" w:rsidRDefault="008F7DB8" w:rsidP="00805380">
      <w:pPr>
        <w:pStyle w:val="LITlitera"/>
      </w:pPr>
      <w:r>
        <w:t xml:space="preserve">i) </w:t>
      </w:r>
      <w:r w:rsidR="001F3A27">
        <w:t xml:space="preserve"> </w:t>
      </w:r>
      <w:r>
        <w:t>przyczynę zgonu</w:t>
      </w:r>
      <w:r w:rsidRPr="00805380">
        <w:t>;</w:t>
      </w:r>
    </w:p>
    <w:p w14:paraId="7ADA2558" w14:textId="77777777" w:rsidR="00854FF0" w:rsidRPr="00805380" w:rsidRDefault="008F7DB8" w:rsidP="00805380">
      <w:pPr>
        <w:pStyle w:val="PKTpunkt"/>
      </w:pPr>
      <w:r w:rsidRPr="00805380">
        <w:t>2) jednostkowe dane medyczne dotyczące usługobiorcy:</w:t>
      </w:r>
    </w:p>
    <w:p w14:paraId="1DD78945" w14:textId="77777777" w:rsidR="00854FF0" w:rsidRPr="00805380" w:rsidRDefault="008F7DB8" w:rsidP="00805380">
      <w:pPr>
        <w:pStyle w:val="LITlitera"/>
      </w:pPr>
      <w:r w:rsidRPr="00805380">
        <w:t>a) datę przyjęcia i dokonania wypisu od usługodawcy,</w:t>
      </w:r>
    </w:p>
    <w:p w14:paraId="70B9EFE9" w14:textId="77777777" w:rsidR="00854FF0" w:rsidRPr="00805380" w:rsidRDefault="008F7DB8" w:rsidP="00805380">
      <w:pPr>
        <w:pStyle w:val="LITlitera"/>
      </w:pPr>
      <w:r w:rsidRPr="00805380">
        <w:t>b) tryb przyjęcia i wypisu od usługodawcy,</w:t>
      </w:r>
    </w:p>
    <w:p w14:paraId="2835A14D" w14:textId="77777777" w:rsidR="00854FF0" w:rsidRPr="00805380" w:rsidRDefault="006B4D50" w:rsidP="00805380">
      <w:pPr>
        <w:pStyle w:val="LITlitera"/>
      </w:pPr>
      <w:r>
        <w:t xml:space="preserve">c) miejsce lub podmiot, z którego usługobiorca </w:t>
      </w:r>
      <w:r w:rsidR="008F7DB8" w:rsidRPr="00805380">
        <w:t>został przyjęty,</w:t>
      </w:r>
    </w:p>
    <w:p w14:paraId="45A80B9E" w14:textId="575B1C04" w:rsidR="00886C8C" w:rsidRPr="00886C8C" w:rsidRDefault="008F7DB8" w:rsidP="00886C8C">
      <w:pPr>
        <w:pStyle w:val="LITlitera"/>
        <w:rPr>
          <w:rStyle w:val="TEKSTOZNACZONYWDOKUMENCIERDOWYMJAKOUKRYTY"/>
          <w:color w:val="auto"/>
          <w:u w:val="none"/>
        </w:rPr>
      </w:pPr>
      <w:r w:rsidRPr="00805380">
        <w:t>d) liczbę dni hospitalizacji,</w:t>
      </w:r>
    </w:p>
    <w:p w14:paraId="355FEF5E" w14:textId="2CB1ECE0" w:rsidR="00854FF0" w:rsidRPr="00805380" w:rsidRDefault="00886C8C" w:rsidP="00805380">
      <w:pPr>
        <w:pStyle w:val="LITlitera"/>
      </w:pPr>
      <w:r>
        <w:t>e</w:t>
      </w:r>
      <w:r w:rsidR="008F7DB8" w:rsidRPr="00805380">
        <w:t xml:space="preserve">) miejsce lub podmiot do którego </w:t>
      </w:r>
      <w:r w:rsidR="005E4591">
        <w:t>usługobiorca</w:t>
      </w:r>
      <w:r w:rsidR="005E4591" w:rsidRPr="00805380">
        <w:t xml:space="preserve"> </w:t>
      </w:r>
      <w:r w:rsidR="008F7DB8" w:rsidRPr="00805380">
        <w:t>został przekazany,</w:t>
      </w:r>
    </w:p>
    <w:p w14:paraId="3C6EB4AD" w14:textId="649A27F9" w:rsidR="00854FF0" w:rsidRPr="00805380" w:rsidRDefault="00886C8C" w:rsidP="00805380">
      <w:pPr>
        <w:pStyle w:val="LITlitera"/>
      </w:pPr>
      <w:r>
        <w:t>f</w:t>
      </w:r>
      <w:r w:rsidR="008F7DB8" w:rsidRPr="00805380">
        <w:t>) informacje o czynnikach ryzyka,</w:t>
      </w:r>
    </w:p>
    <w:p w14:paraId="7E162E48" w14:textId="53AEB2CA" w:rsidR="00854FF0" w:rsidRPr="00805380" w:rsidRDefault="00886C8C" w:rsidP="00805380">
      <w:pPr>
        <w:pStyle w:val="LITlitera"/>
      </w:pPr>
      <w:r>
        <w:t>g</w:t>
      </w:r>
      <w:r w:rsidR="008F7DB8" w:rsidRPr="00805380">
        <w:t>) informacje o chorobach współistniejących,</w:t>
      </w:r>
    </w:p>
    <w:p w14:paraId="33FA6D67" w14:textId="5C6EBB8F" w:rsidR="00854FF0" w:rsidRPr="00805380" w:rsidRDefault="00886C8C" w:rsidP="00805380">
      <w:pPr>
        <w:pStyle w:val="LITlitera"/>
      </w:pPr>
      <w:r>
        <w:t>h</w:t>
      </w:r>
      <w:r w:rsidR="008F7DB8" w:rsidRPr="00805380">
        <w:t>) wykaz produktów leczniczych przyjmowanych przed przyjęciem do szpitala</w:t>
      </w:r>
      <w:r w:rsidR="008F7DB8">
        <w:t xml:space="preserve"> w związku z chorobami przewlekłymi</w:t>
      </w:r>
      <w:r w:rsidR="008F7DB8" w:rsidRPr="00805380">
        <w:t>,</w:t>
      </w:r>
    </w:p>
    <w:p w14:paraId="2943DBF7" w14:textId="660EAAB5" w:rsidR="00854FF0" w:rsidRPr="00805380" w:rsidRDefault="00886C8C" w:rsidP="00805380">
      <w:pPr>
        <w:pStyle w:val="LITlitera"/>
      </w:pPr>
      <w:r>
        <w:t>i</w:t>
      </w:r>
      <w:r w:rsidR="008F7DB8" w:rsidRPr="00805380">
        <w:t>) informacje o produktach leczniczych stosowanych w trakcie hospitalizacji,</w:t>
      </w:r>
    </w:p>
    <w:p w14:paraId="2B5A5A83" w14:textId="34E92DC5" w:rsidR="00854FF0" w:rsidRPr="00805380" w:rsidRDefault="00886C8C" w:rsidP="00805380">
      <w:pPr>
        <w:pStyle w:val="LITlitera"/>
      </w:pPr>
      <w:r>
        <w:t>j</w:t>
      </w:r>
      <w:r w:rsidR="008F7DB8" w:rsidRPr="00805380">
        <w:t>) informacje o produktach leczniczych zleconych przy wypisie oraz o dalszych planach i zaleceniach po wypisie obejmujących diagnostykę, leczenie i rehabilitację,</w:t>
      </w:r>
    </w:p>
    <w:p w14:paraId="444F2DE1" w14:textId="03D1EE88" w:rsidR="00854FF0" w:rsidRPr="00854FF0" w:rsidRDefault="00886C8C" w:rsidP="00805380">
      <w:pPr>
        <w:pStyle w:val="LITlitera"/>
      </w:pPr>
      <w:r>
        <w:t>k</w:t>
      </w:r>
      <w:r w:rsidR="008F7DB8" w:rsidRPr="00805380">
        <w:t xml:space="preserve">) </w:t>
      </w:r>
      <w:r w:rsidR="008F7DB8">
        <w:t>informacje</w:t>
      </w:r>
      <w:r w:rsidR="005E4591">
        <w:t xml:space="preserve"> o wykonanych</w:t>
      </w:r>
      <w:r w:rsidR="008F7DB8" w:rsidRPr="00854FF0">
        <w:t xml:space="preserve"> badaniach diagnostycznych:</w:t>
      </w:r>
    </w:p>
    <w:p w14:paraId="2C9FE5DC" w14:textId="77777777" w:rsidR="00854FF0" w:rsidRPr="00805380" w:rsidRDefault="008F7DB8" w:rsidP="00805380">
      <w:pPr>
        <w:pStyle w:val="TIRtiret"/>
      </w:pPr>
      <w:r>
        <w:t xml:space="preserve">- </w:t>
      </w:r>
      <w:r w:rsidRPr="00805380">
        <w:t>rodzaj,</w:t>
      </w:r>
    </w:p>
    <w:p w14:paraId="0D41E997" w14:textId="77777777" w:rsidR="00854FF0" w:rsidRPr="00805380" w:rsidRDefault="008F7DB8" w:rsidP="00805380">
      <w:pPr>
        <w:pStyle w:val="TIRtiret"/>
      </w:pPr>
      <w:r>
        <w:t xml:space="preserve">- </w:t>
      </w:r>
      <w:r w:rsidRPr="00805380">
        <w:t>datę wykonania,</w:t>
      </w:r>
    </w:p>
    <w:p w14:paraId="34AAEFF7" w14:textId="77777777" w:rsidR="00854FF0" w:rsidRPr="00805380" w:rsidRDefault="008F7DB8" w:rsidP="00805380">
      <w:pPr>
        <w:pStyle w:val="TIRtiret"/>
      </w:pPr>
      <w:r>
        <w:t xml:space="preserve">- </w:t>
      </w:r>
      <w:r w:rsidRPr="00805380">
        <w:t>wyniki,</w:t>
      </w:r>
    </w:p>
    <w:p w14:paraId="1CC4B3B8" w14:textId="6E3ECB90" w:rsidR="00FD2C3D" w:rsidRDefault="00886C8C" w:rsidP="00212C11">
      <w:pPr>
        <w:pStyle w:val="LITlitera"/>
      </w:pPr>
      <w:r>
        <w:t>l</w:t>
      </w:r>
      <w:r w:rsidR="008F7DB8">
        <w:t>) informacje o parametrach antropometrycznych, w szczególności:</w:t>
      </w:r>
    </w:p>
    <w:p w14:paraId="412F5D48" w14:textId="77777777" w:rsidR="00FD2C3D" w:rsidRDefault="008F7DB8" w:rsidP="00FD2C3D">
      <w:pPr>
        <w:pStyle w:val="TIRtiret"/>
      </w:pPr>
      <w:r>
        <w:t xml:space="preserve">- waga, </w:t>
      </w:r>
    </w:p>
    <w:p w14:paraId="511A58EA" w14:textId="77777777" w:rsidR="00FD2C3D" w:rsidRDefault="008F7DB8" w:rsidP="00FD2C3D">
      <w:pPr>
        <w:pStyle w:val="TIRtiret"/>
      </w:pPr>
      <w:r>
        <w:t xml:space="preserve">- wzrost, </w:t>
      </w:r>
    </w:p>
    <w:p w14:paraId="7AD1E6F7" w14:textId="77777777" w:rsidR="00854FF0" w:rsidRPr="00854FF0" w:rsidRDefault="008F7DB8" w:rsidP="00FD2C3D">
      <w:pPr>
        <w:pStyle w:val="TIRtiret"/>
      </w:pPr>
      <w:r>
        <w:t xml:space="preserve">- wskaźnik masy ciała, </w:t>
      </w:r>
    </w:p>
    <w:p w14:paraId="61968964" w14:textId="77DD8BD2" w:rsidR="00854FF0" w:rsidRPr="00854FF0" w:rsidRDefault="00886C8C" w:rsidP="007B5A07">
      <w:pPr>
        <w:pStyle w:val="LITlitera"/>
      </w:pPr>
      <w:r>
        <w:t>ł</w:t>
      </w:r>
      <w:r w:rsidR="008F7DB8">
        <w:t xml:space="preserve">) </w:t>
      </w:r>
      <w:r w:rsidR="008F7DB8" w:rsidRPr="00854FF0">
        <w:t>datę operacji,</w:t>
      </w:r>
    </w:p>
    <w:p w14:paraId="67219E50" w14:textId="72445593" w:rsidR="00854FF0" w:rsidRPr="00854FF0" w:rsidRDefault="00886C8C" w:rsidP="007B5A07">
      <w:pPr>
        <w:pStyle w:val="LITlitera"/>
      </w:pPr>
      <w:r>
        <w:t>m</w:t>
      </w:r>
      <w:r w:rsidR="008F7DB8">
        <w:t xml:space="preserve">) </w:t>
      </w:r>
      <w:r w:rsidR="008F7DB8" w:rsidRPr="00854FF0">
        <w:t>numer w księdze głównej przyjęć i wypisów, pod którym dokonano wpisu o przyjęciu usługobiorcy, któremu udzielono świadczenia, rok dokonania wpisu i numer księgi głównej,</w:t>
      </w:r>
    </w:p>
    <w:p w14:paraId="0FC34CDD" w14:textId="3D134DB7" w:rsidR="00854FF0" w:rsidRPr="00854FF0" w:rsidRDefault="00886C8C" w:rsidP="007B5A07">
      <w:pPr>
        <w:pStyle w:val="LITlitera"/>
      </w:pPr>
      <w:r>
        <w:t>n</w:t>
      </w:r>
      <w:r w:rsidR="008F7DB8">
        <w:t xml:space="preserve">) </w:t>
      </w:r>
      <w:r w:rsidR="008F7DB8" w:rsidRPr="00854FF0">
        <w:t>kod przyczyny głównej według wybranej i obowiązującej w rejestrze klasyfikacji,</w:t>
      </w:r>
    </w:p>
    <w:p w14:paraId="5268800B" w14:textId="1C388648" w:rsidR="00854FF0" w:rsidRPr="00854FF0" w:rsidRDefault="00886C8C" w:rsidP="007B5A07">
      <w:pPr>
        <w:pStyle w:val="LITlitera"/>
      </w:pPr>
      <w:r>
        <w:t>o</w:t>
      </w:r>
      <w:r w:rsidR="008F7DB8">
        <w:t xml:space="preserve">) </w:t>
      </w:r>
      <w:r w:rsidR="008F7DB8" w:rsidRPr="00854FF0">
        <w:t>kody nie więcej niż trzech najważniejszych przyczyn współistniejących według wybranej i obowiązującej w rejestrze klasyfikacji,</w:t>
      </w:r>
    </w:p>
    <w:p w14:paraId="0E0503F6" w14:textId="4BF81E1E" w:rsidR="006102E8" w:rsidRDefault="00886C8C" w:rsidP="007B5A07">
      <w:pPr>
        <w:pStyle w:val="LITlitera"/>
      </w:pPr>
      <w:r>
        <w:t>p</w:t>
      </w:r>
      <w:r w:rsidR="008F7DB8">
        <w:t xml:space="preserve">) </w:t>
      </w:r>
      <w:r w:rsidR="008F7DB8" w:rsidRPr="00854FF0">
        <w:t>kody zrealizowanych istotnych procedur medycznych według wybranej i obowiązującej w rejestrze klasyfikacji</w:t>
      </w:r>
      <w:r w:rsidR="008F7DB8">
        <w:t>,</w:t>
      </w:r>
    </w:p>
    <w:p w14:paraId="71759F4C" w14:textId="3C2AAB6C" w:rsidR="00854FF0" w:rsidRDefault="00886C8C" w:rsidP="007B5A07">
      <w:pPr>
        <w:pStyle w:val="LITlitera"/>
      </w:pPr>
      <w:r>
        <w:t>q</w:t>
      </w:r>
      <w:r w:rsidR="008F7DB8">
        <w:t xml:space="preserve">) </w:t>
      </w:r>
      <w:r w:rsidR="00CB109C">
        <w:t xml:space="preserve"> </w:t>
      </w:r>
      <w:r w:rsidR="008F7DB8">
        <w:t xml:space="preserve">w przypadku usługobiorcy, u którego nie wykonano zabiegu endoprotezoplastyki </w:t>
      </w:r>
      <w:r w:rsidR="008F7DB8" w:rsidRPr="00414916">
        <w:t>–</w:t>
      </w:r>
      <w:r w:rsidR="008F7DB8">
        <w:t xml:space="preserve"> datę i przyczynę niewykonania zabiegu</w:t>
      </w:r>
      <w:r w:rsidR="00D70674">
        <w:t>,</w:t>
      </w:r>
    </w:p>
    <w:p w14:paraId="5AD27839" w14:textId="53CB1D9E" w:rsidR="00886C8C" w:rsidRDefault="00886C8C" w:rsidP="00886C8C">
      <w:pPr>
        <w:pStyle w:val="LITlitera"/>
      </w:pPr>
      <w:r>
        <w:t>s</w:t>
      </w:r>
      <w:r w:rsidR="00D70674">
        <w:t xml:space="preserve">) </w:t>
      </w:r>
      <w:r w:rsidR="00CB109C">
        <w:t xml:space="preserve"> </w:t>
      </w:r>
      <w:r w:rsidR="00D70674">
        <w:t>datę</w:t>
      </w:r>
      <w:r w:rsidR="00D70674" w:rsidRPr="00D70674">
        <w:t xml:space="preserve"> wpisu na listę oczekującyc</w:t>
      </w:r>
      <w:r w:rsidR="00D70674">
        <w:t>h na udzielenie świadczenia, jeże</w:t>
      </w:r>
      <w:r w:rsidR="00D70674" w:rsidRPr="00D70674">
        <w:t>li dotyczy</w:t>
      </w:r>
      <w:r>
        <w:t>;</w:t>
      </w:r>
    </w:p>
    <w:p w14:paraId="4B4A55FA" w14:textId="77777777" w:rsidR="00854FF0" w:rsidRPr="00854FF0" w:rsidRDefault="008F7DB8" w:rsidP="007B5A07">
      <w:pPr>
        <w:pStyle w:val="PKTpunkt"/>
      </w:pPr>
      <w:r w:rsidRPr="00854FF0">
        <w:t>3)</w:t>
      </w:r>
      <w:r w:rsidRPr="00854FF0">
        <w:tab/>
      </w:r>
      <w:r>
        <w:t xml:space="preserve">pozostałe jednostkowe </w:t>
      </w:r>
      <w:r w:rsidRPr="00854FF0">
        <w:t xml:space="preserve">dane </w:t>
      </w:r>
      <w:r>
        <w:t xml:space="preserve">medyczne </w:t>
      </w:r>
      <w:r w:rsidRPr="00854FF0">
        <w:t>dotyczące en</w:t>
      </w:r>
      <w:r>
        <w:t xml:space="preserve">doprotezoplastyk stawowych, </w:t>
      </w:r>
      <w:r w:rsidRPr="00854FF0">
        <w:t>w szczególności:</w:t>
      </w:r>
    </w:p>
    <w:p w14:paraId="7DD12CB6" w14:textId="77777777" w:rsidR="00854FF0" w:rsidRPr="00854FF0" w:rsidRDefault="008F7DB8" w:rsidP="007B5A07">
      <w:pPr>
        <w:pStyle w:val="LITlitera"/>
      </w:pPr>
      <w:r>
        <w:t xml:space="preserve">a) nazwę </w:t>
      </w:r>
      <w:r w:rsidRPr="00854FF0">
        <w:t>staw</w:t>
      </w:r>
      <w:r>
        <w:t xml:space="preserve">u, którego dotyczy świadczenie, o którym mowa w </w:t>
      </w:r>
      <w:r>
        <w:rPr>
          <w:rFonts w:cs="Times"/>
        </w:rPr>
        <w:t>§</w:t>
      </w:r>
      <w:r>
        <w:t xml:space="preserve"> 4 ust. 1 pkt 1</w:t>
      </w:r>
      <w:r w:rsidRPr="00854FF0">
        <w:t>,</w:t>
      </w:r>
    </w:p>
    <w:p w14:paraId="5CAD3A9A" w14:textId="77777777" w:rsidR="00854FF0" w:rsidRPr="00854FF0" w:rsidRDefault="008F7DB8" w:rsidP="007B5A07">
      <w:pPr>
        <w:pStyle w:val="LITlitera"/>
      </w:pPr>
      <w:r>
        <w:t xml:space="preserve">b) </w:t>
      </w:r>
      <w:r w:rsidRPr="00854FF0">
        <w:t>rodzaj operacji,</w:t>
      </w:r>
    </w:p>
    <w:p w14:paraId="7CAE02C7" w14:textId="77777777" w:rsidR="00854FF0" w:rsidRPr="00854FF0" w:rsidRDefault="008F7DB8" w:rsidP="007B5A07">
      <w:pPr>
        <w:pStyle w:val="LITlitera"/>
      </w:pPr>
      <w:r>
        <w:t xml:space="preserve">c) </w:t>
      </w:r>
      <w:r w:rsidRPr="00854FF0">
        <w:t>rodzaj endoprotezy,</w:t>
      </w:r>
    </w:p>
    <w:p w14:paraId="3AAD8E85" w14:textId="77777777" w:rsidR="00854FF0" w:rsidRPr="00854FF0" w:rsidRDefault="008F7DB8" w:rsidP="007B5A07">
      <w:pPr>
        <w:pStyle w:val="LITlitera"/>
      </w:pPr>
      <w:r>
        <w:t xml:space="preserve">d) </w:t>
      </w:r>
      <w:r w:rsidRPr="00854FF0">
        <w:t>rodzaj alloplastyki,</w:t>
      </w:r>
    </w:p>
    <w:p w14:paraId="2F415278" w14:textId="77777777" w:rsidR="00854FF0" w:rsidRPr="00854FF0" w:rsidRDefault="008F7DB8" w:rsidP="007B5A07">
      <w:pPr>
        <w:pStyle w:val="LITlitera"/>
      </w:pPr>
      <w:r>
        <w:t xml:space="preserve">e) </w:t>
      </w:r>
      <w:r w:rsidRPr="00854FF0">
        <w:t>wykaz wszczepionych elementów,</w:t>
      </w:r>
    </w:p>
    <w:p w14:paraId="78058A60" w14:textId="77777777" w:rsidR="00854FF0" w:rsidRPr="00854FF0" w:rsidRDefault="008F7DB8" w:rsidP="007B5A07">
      <w:pPr>
        <w:pStyle w:val="LITlitera"/>
      </w:pPr>
      <w:r>
        <w:t xml:space="preserve">f) </w:t>
      </w:r>
      <w:r w:rsidRPr="00854FF0">
        <w:t>wykonane procedury śródoperacyjne,</w:t>
      </w:r>
    </w:p>
    <w:p w14:paraId="079A7B57" w14:textId="77777777" w:rsidR="00854FF0" w:rsidRPr="00854FF0" w:rsidRDefault="008F7DB8" w:rsidP="007B5A07">
      <w:pPr>
        <w:pStyle w:val="LITlitera"/>
      </w:pPr>
      <w:r>
        <w:t xml:space="preserve">g) </w:t>
      </w:r>
      <w:r w:rsidRPr="00854FF0">
        <w:t>rodzaj znieczulenia,</w:t>
      </w:r>
    </w:p>
    <w:p w14:paraId="4C7A72D3" w14:textId="77777777" w:rsidR="00854FF0" w:rsidRPr="00854FF0" w:rsidRDefault="008F7DB8" w:rsidP="007B5A07">
      <w:pPr>
        <w:pStyle w:val="LITlitera"/>
      </w:pPr>
      <w:r>
        <w:t xml:space="preserve">h) </w:t>
      </w:r>
      <w:r w:rsidRPr="00854FF0">
        <w:t>typ artykulacji – w przypadku świadczeń pierwotnej i rewizyjnej endoprotezoplastyki stawu biodrowego, ramiennego i łokciowego,</w:t>
      </w:r>
    </w:p>
    <w:p w14:paraId="1093E7AA" w14:textId="77777777" w:rsidR="00854FF0" w:rsidRPr="00854FF0" w:rsidRDefault="008F7DB8" w:rsidP="007B5A07">
      <w:pPr>
        <w:pStyle w:val="LITlitera"/>
      </w:pPr>
      <w:r>
        <w:t xml:space="preserve">i) </w:t>
      </w:r>
      <w:r w:rsidRPr="00854FF0">
        <w:t>dostęp operacyjny – w przypadku świadczeń pierwotnej endoprotezoplastyki stawu biodrowego i kolanowego,</w:t>
      </w:r>
    </w:p>
    <w:p w14:paraId="152B2486" w14:textId="77777777" w:rsidR="00854FF0" w:rsidRPr="00854FF0" w:rsidRDefault="008F7DB8" w:rsidP="007B5A07">
      <w:pPr>
        <w:pStyle w:val="LITlitera"/>
      </w:pPr>
      <w:r>
        <w:t xml:space="preserve">j) </w:t>
      </w:r>
      <w:r w:rsidRPr="00854FF0">
        <w:t>dodatkowe elementy wszczepu – w przypadku świadczeń pierwotnej i rewizyjnej endoprotezoplastyki stawu biodrowego i kolanowego,</w:t>
      </w:r>
    </w:p>
    <w:p w14:paraId="3324F243" w14:textId="77777777" w:rsidR="00854FF0" w:rsidRPr="00854FF0" w:rsidRDefault="008F7DB8" w:rsidP="007B5A07">
      <w:pPr>
        <w:pStyle w:val="LITlitera"/>
      </w:pPr>
      <w:r>
        <w:t>k) l</w:t>
      </w:r>
      <w:r w:rsidRPr="00854FF0">
        <w:t>iczbę operacji rewizyjnych i daty ich wykonania,</w:t>
      </w:r>
    </w:p>
    <w:p w14:paraId="2B6EB60E" w14:textId="77777777" w:rsidR="00854FF0" w:rsidRPr="00854FF0" w:rsidRDefault="008F7DB8" w:rsidP="007B5A07">
      <w:pPr>
        <w:pStyle w:val="LITlitera"/>
      </w:pPr>
      <w:r>
        <w:t xml:space="preserve">l) </w:t>
      </w:r>
      <w:r w:rsidRPr="00854FF0">
        <w:t>przyczynę rewizji,</w:t>
      </w:r>
    </w:p>
    <w:p w14:paraId="514AF606" w14:textId="77777777" w:rsidR="00854FF0" w:rsidRPr="00854FF0" w:rsidRDefault="008F7DB8" w:rsidP="007B5A07">
      <w:pPr>
        <w:pStyle w:val="LITlitera"/>
      </w:pPr>
      <w:r>
        <w:t xml:space="preserve">ł) </w:t>
      </w:r>
      <w:r w:rsidRPr="00854FF0">
        <w:t>rodzaj i nazw</w:t>
      </w:r>
      <w:r>
        <w:t>ę</w:t>
      </w:r>
      <w:r w:rsidRPr="00854FF0">
        <w:t xml:space="preserve"> usuniętego implantu, je</w:t>
      </w:r>
      <w:r>
        <w:t xml:space="preserve">żeli </w:t>
      </w:r>
      <w:r w:rsidRPr="00854FF0">
        <w:t>było to przedmiotem zabiegu,</w:t>
      </w:r>
    </w:p>
    <w:p w14:paraId="43CD3433" w14:textId="77777777" w:rsidR="00854FF0" w:rsidRPr="00854FF0" w:rsidRDefault="008F7DB8" w:rsidP="007B5A07">
      <w:pPr>
        <w:pStyle w:val="LITlitera"/>
      </w:pPr>
      <w:r>
        <w:t xml:space="preserve">m) </w:t>
      </w:r>
      <w:r w:rsidRPr="00854FF0">
        <w:t>sposób usunięcia trzpienia – w przypadku świadczeń</w:t>
      </w:r>
      <w:r w:rsidRPr="00854FF0">
        <w:tab/>
        <w:t>rewizyjnej endoprotezoplastyki stawu biodrowego,</w:t>
      </w:r>
    </w:p>
    <w:p w14:paraId="32585135" w14:textId="77777777" w:rsidR="00854FF0" w:rsidRPr="00854FF0" w:rsidRDefault="008F7DB8" w:rsidP="007B5A07">
      <w:pPr>
        <w:pStyle w:val="LITlitera"/>
      </w:pPr>
      <w:r>
        <w:t xml:space="preserve">n) </w:t>
      </w:r>
      <w:r w:rsidRPr="00854FF0">
        <w:t>informację o użyciu spacera – w przypadku świadczeń rewizyjnej endoprotezoplastyki stawu biodrowego,</w:t>
      </w:r>
    </w:p>
    <w:p w14:paraId="01303F71" w14:textId="77777777" w:rsidR="00FB1000" w:rsidRDefault="008F7DB8" w:rsidP="00FB1000">
      <w:pPr>
        <w:pStyle w:val="LITlitera"/>
      </w:pPr>
      <w:r>
        <w:t xml:space="preserve">o) </w:t>
      </w:r>
      <w:r w:rsidR="00FB1000" w:rsidRPr="00FB1000">
        <w:t>datę i identyfikator usługodawcy, który wykonał pierwotną endopro</w:t>
      </w:r>
      <w:r w:rsidR="00FB1000">
        <w:t xml:space="preserve">tezoplastykę operowanego stawu </w:t>
      </w:r>
      <w:r w:rsidR="00FB1000" w:rsidRPr="00854FF0">
        <w:t>–</w:t>
      </w:r>
      <w:r w:rsidR="00FB1000" w:rsidRPr="00FB1000">
        <w:t xml:space="preserve"> w przypadku świadczeń rewizyjnej endoprotezoplastyki stawowej,</w:t>
      </w:r>
    </w:p>
    <w:p w14:paraId="32FE75B8" w14:textId="77777777" w:rsidR="00854FF0" w:rsidRPr="00854FF0" w:rsidRDefault="008F7DB8" w:rsidP="007B5A07">
      <w:pPr>
        <w:pStyle w:val="LITlitera"/>
      </w:pPr>
      <w:r>
        <w:t xml:space="preserve">p) </w:t>
      </w:r>
      <w:r w:rsidRPr="00854FF0">
        <w:t>oś kończyny – w przypadku świadczeń pierwotnej endoprotezoplastyki stawu kolanowego,</w:t>
      </w:r>
    </w:p>
    <w:p w14:paraId="66F6D900" w14:textId="77777777" w:rsidR="00854FF0" w:rsidRPr="00854FF0" w:rsidRDefault="008F7DB8" w:rsidP="007B5A07">
      <w:pPr>
        <w:pStyle w:val="LITlitera"/>
      </w:pPr>
      <w:r>
        <w:t xml:space="preserve">r) </w:t>
      </w:r>
      <w:r w:rsidRPr="00854FF0">
        <w:t>użyte przeszczepy – w przypadku świadczeń pierwotnej i rewizyjnej endoprotezoplastyki stawu biodrowego i kolanowego,</w:t>
      </w:r>
    </w:p>
    <w:p w14:paraId="26EFD371" w14:textId="77777777" w:rsidR="00854FF0" w:rsidRPr="00854FF0" w:rsidRDefault="008F7DB8" w:rsidP="007B5A07">
      <w:pPr>
        <w:pStyle w:val="LITlitera"/>
      </w:pPr>
      <w:r>
        <w:t xml:space="preserve">s) </w:t>
      </w:r>
      <w:r w:rsidRPr="00854FF0">
        <w:t>informacje o powikłaniach pooperacyjnych:</w:t>
      </w:r>
    </w:p>
    <w:p w14:paraId="598F7090" w14:textId="77777777" w:rsidR="00854FF0" w:rsidRPr="00854FF0" w:rsidRDefault="008F7DB8" w:rsidP="007B5A07">
      <w:pPr>
        <w:pStyle w:val="TIRtiret"/>
      </w:pPr>
      <w:r>
        <w:t xml:space="preserve">- </w:t>
      </w:r>
      <w:r w:rsidRPr="00854FF0">
        <w:t>rodzaj,</w:t>
      </w:r>
    </w:p>
    <w:p w14:paraId="6EDE2E55" w14:textId="77777777" w:rsidR="00854FF0" w:rsidRPr="00854FF0" w:rsidRDefault="008F7DB8" w:rsidP="007B5A07">
      <w:pPr>
        <w:pStyle w:val="TIRtiret"/>
      </w:pPr>
      <w:r>
        <w:t xml:space="preserve">- </w:t>
      </w:r>
      <w:r w:rsidRPr="00854FF0">
        <w:t>datę wystąpienia,</w:t>
      </w:r>
    </w:p>
    <w:p w14:paraId="5CA473E7" w14:textId="77777777" w:rsidR="007D22C0" w:rsidRPr="007D22C0" w:rsidRDefault="008F7DB8" w:rsidP="007D22C0">
      <w:pPr>
        <w:pStyle w:val="TIRtiret"/>
      </w:pPr>
      <w:r>
        <w:t xml:space="preserve">- </w:t>
      </w:r>
      <w:r w:rsidRPr="00854FF0">
        <w:t>zastosowane leczenie</w:t>
      </w:r>
      <w:r>
        <w:t>,</w:t>
      </w:r>
    </w:p>
    <w:p w14:paraId="2BFF5D08" w14:textId="77777777" w:rsidR="007D22C0" w:rsidRPr="00854FF0" w:rsidRDefault="008F7DB8" w:rsidP="007D22C0">
      <w:pPr>
        <w:pStyle w:val="LITlitera"/>
      </w:pPr>
      <w:r>
        <w:t xml:space="preserve">t) </w:t>
      </w:r>
      <w:r w:rsidRPr="007D22C0">
        <w:t>wynik badania sekc</w:t>
      </w:r>
      <w:r>
        <w:t>yjnego wszczepionej endoprotezy, jeżeli badanie takie przeprowadzono,</w:t>
      </w:r>
    </w:p>
    <w:p w14:paraId="7EA0B5E6" w14:textId="77777777" w:rsidR="00854FF0" w:rsidRPr="00854FF0" w:rsidRDefault="008F7DB8" w:rsidP="00A37504">
      <w:pPr>
        <w:pStyle w:val="LITlitera"/>
      </w:pPr>
      <w:r>
        <w:t xml:space="preserve">u) </w:t>
      </w:r>
      <w:r w:rsidRPr="00854FF0">
        <w:t xml:space="preserve">informacje o efektach klinicznych i </w:t>
      </w:r>
      <w:r>
        <w:t>jakościowych</w:t>
      </w:r>
      <w:r w:rsidRPr="00296F46">
        <w:t xml:space="preserve"> </w:t>
      </w:r>
      <w:r>
        <w:t xml:space="preserve">świadczenia, o którym mowa w </w:t>
      </w:r>
      <w:r w:rsidRPr="00296F46">
        <w:t>§</w:t>
      </w:r>
      <w:r>
        <w:t xml:space="preserve"> 4 ust. 1 pkt 1,</w:t>
      </w:r>
    </w:p>
    <w:p w14:paraId="766F2905" w14:textId="77777777" w:rsidR="00854FF0" w:rsidRPr="00854FF0" w:rsidRDefault="008F7DB8" w:rsidP="00A37504">
      <w:pPr>
        <w:pStyle w:val="LITlitera"/>
      </w:pPr>
      <w:r>
        <w:t xml:space="preserve">v) </w:t>
      </w:r>
      <w:r w:rsidRPr="00854FF0">
        <w:t>informacje o przedoperacyjnych czynnikach ryzyka, umożliwiające kalkulacje skali ryzyka według wybranej i obowiąz</w:t>
      </w:r>
      <w:r>
        <w:t>ującej w rejestrze klasyfikacji,</w:t>
      </w:r>
    </w:p>
    <w:p w14:paraId="21859762" w14:textId="77777777" w:rsidR="00514ABD" w:rsidRDefault="008F7DB8" w:rsidP="00A37504">
      <w:pPr>
        <w:pStyle w:val="LITlitera"/>
      </w:pPr>
      <w:r>
        <w:t xml:space="preserve">w) </w:t>
      </w:r>
      <w:r w:rsidRPr="00854FF0">
        <w:t>informacje zawarte w skierowaniu na zabieg endoprotezoplastyki:</w:t>
      </w:r>
    </w:p>
    <w:p w14:paraId="1D0D5A1A" w14:textId="77777777" w:rsidR="00514ABD" w:rsidRDefault="008F7DB8" w:rsidP="00A37504">
      <w:pPr>
        <w:pStyle w:val="TIRtiret"/>
      </w:pPr>
      <w:r>
        <w:t xml:space="preserve">- </w:t>
      </w:r>
      <w:r w:rsidRPr="00854FF0">
        <w:t xml:space="preserve">rozpoznanie według wybranej i obowiązującej w rejestrze klasyfikacji, </w:t>
      </w:r>
    </w:p>
    <w:p w14:paraId="24466692" w14:textId="77777777" w:rsidR="00514ABD" w:rsidRDefault="008F7DB8" w:rsidP="00A37504">
      <w:pPr>
        <w:pStyle w:val="TIRtiret"/>
      </w:pPr>
      <w:r>
        <w:t xml:space="preserve">- </w:t>
      </w:r>
      <w:r w:rsidRPr="00854FF0">
        <w:t xml:space="preserve">uzasadnienie skierowania, </w:t>
      </w:r>
    </w:p>
    <w:p w14:paraId="3BD9C1B0" w14:textId="77777777" w:rsidR="00514ABD" w:rsidRDefault="008F7DB8" w:rsidP="00A37504">
      <w:pPr>
        <w:pStyle w:val="TIRtiret"/>
      </w:pPr>
      <w:r>
        <w:t>- datę</w:t>
      </w:r>
      <w:r w:rsidRPr="00854FF0">
        <w:t xml:space="preserve"> wystawienia</w:t>
      </w:r>
      <w:r>
        <w:t xml:space="preserve"> skierowania</w:t>
      </w:r>
      <w:r w:rsidRPr="00854FF0">
        <w:t xml:space="preserve">, </w:t>
      </w:r>
    </w:p>
    <w:p w14:paraId="2BE83DD4" w14:textId="77777777" w:rsidR="00854FF0" w:rsidRPr="00854FF0" w:rsidRDefault="008F7DB8" w:rsidP="00A37504">
      <w:pPr>
        <w:pStyle w:val="TIRtiret"/>
      </w:pPr>
      <w:r>
        <w:t xml:space="preserve">- </w:t>
      </w:r>
      <w:r w:rsidRPr="00854FF0">
        <w:t>identyfikator pracownika medycznego, o którym mowa w art. 17c ust. 5 ustawy, który wystawił skierowanie;</w:t>
      </w:r>
    </w:p>
    <w:p w14:paraId="0798AD09" w14:textId="77777777" w:rsidR="00854FF0" w:rsidRPr="00854FF0" w:rsidRDefault="008F7DB8" w:rsidP="007B5A07">
      <w:pPr>
        <w:pStyle w:val="PKTpunkt"/>
      </w:pPr>
      <w:r>
        <w:t>4</w:t>
      </w:r>
      <w:r w:rsidRPr="00854FF0">
        <w:t>)</w:t>
      </w:r>
      <w:r w:rsidRPr="00854FF0">
        <w:tab/>
        <w:t>identyfikator usługodawcy, o którym mowa w art. 17c ust. 3 pkt 1 ustawy;</w:t>
      </w:r>
    </w:p>
    <w:p w14:paraId="0732DC88" w14:textId="77777777" w:rsidR="00854FF0" w:rsidRPr="00854FF0" w:rsidRDefault="008F7DB8" w:rsidP="007B5A07">
      <w:pPr>
        <w:pStyle w:val="PKTpunkt"/>
      </w:pPr>
      <w:r>
        <w:t>5</w:t>
      </w:r>
      <w:r w:rsidRPr="00854FF0">
        <w:t>)</w:t>
      </w:r>
      <w:r w:rsidRPr="00854FF0">
        <w:tab/>
        <w:t>identyfikator miejsca udzielania świadczeń opieki zdrowotnej, o którym mowa w art. 17c ust. 4 pkt 1 ustawy;</w:t>
      </w:r>
    </w:p>
    <w:p w14:paraId="454311F7" w14:textId="77777777" w:rsidR="00854FF0" w:rsidRPr="00854FF0" w:rsidRDefault="008F7DB8" w:rsidP="007B5A07">
      <w:pPr>
        <w:pStyle w:val="PKTpunkt"/>
      </w:pPr>
      <w:r>
        <w:t>6</w:t>
      </w:r>
      <w:r w:rsidRPr="00854FF0">
        <w:t>)</w:t>
      </w:r>
      <w:r w:rsidRPr="00854FF0">
        <w:tab/>
        <w:t>identyfikator pracownika medycznego, o którym mowa w art. 17c ust. 5 ustawy, który:</w:t>
      </w:r>
    </w:p>
    <w:p w14:paraId="3915124A" w14:textId="77777777" w:rsidR="00854FF0" w:rsidRPr="00854FF0" w:rsidRDefault="008F7DB8" w:rsidP="007B5A07">
      <w:pPr>
        <w:pStyle w:val="LITlitera"/>
      </w:pPr>
      <w:r>
        <w:t xml:space="preserve">a) </w:t>
      </w:r>
      <w:r w:rsidRPr="00854FF0">
        <w:t>wprowadził dane do rejestru,</w:t>
      </w:r>
    </w:p>
    <w:p w14:paraId="786B6763" w14:textId="77777777" w:rsidR="00854FF0" w:rsidRPr="00854FF0" w:rsidRDefault="008F7DB8" w:rsidP="007B5A07">
      <w:pPr>
        <w:pStyle w:val="LITlitera"/>
      </w:pPr>
      <w:r>
        <w:t xml:space="preserve">b) </w:t>
      </w:r>
      <w:r w:rsidRPr="00854FF0">
        <w:t>wystawił skierowanie na zabieg endoprotezoplastyki,</w:t>
      </w:r>
    </w:p>
    <w:p w14:paraId="4B6A3E3F" w14:textId="77777777" w:rsidR="00854FF0" w:rsidRPr="00854FF0" w:rsidRDefault="008F7DB8" w:rsidP="007B5A07">
      <w:pPr>
        <w:pStyle w:val="LITlitera"/>
      </w:pPr>
      <w:r>
        <w:t xml:space="preserve">c) </w:t>
      </w:r>
      <w:r w:rsidRPr="00854FF0">
        <w:t>wykonał dane świadczenie</w:t>
      </w:r>
      <w:r>
        <w:t xml:space="preserve"> opieki zdrowotnej</w:t>
      </w:r>
      <w:r w:rsidRPr="00854FF0">
        <w:t>.</w:t>
      </w:r>
    </w:p>
    <w:p w14:paraId="45E2C556" w14:textId="71E9BFBC" w:rsidR="00FB07D4" w:rsidRDefault="008F7DB8" w:rsidP="000701EE">
      <w:pPr>
        <w:pStyle w:val="ARTartustawynprozporzdzenia"/>
      </w:pPr>
      <w:r w:rsidRPr="00D63594">
        <w:rPr>
          <w:rStyle w:val="Ppogrubienie"/>
        </w:rPr>
        <w:t>§ 6.</w:t>
      </w:r>
      <w:r w:rsidRPr="00854FF0">
        <w:t xml:space="preserve"> </w:t>
      </w:r>
      <w:r w:rsidR="00E42744" w:rsidRPr="005379B0">
        <w:t>Dane i informacje, o których mowa w §</w:t>
      </w:r>
      <w:r w:rsidR="00E42744">
        <w:t xml:space="preserve"> 5, są przekazywane do rejestru przez </w:t>
      </w:r>
      <w:r w:rsidR="00E42744" w:rsidRPr="000701EE">
        <w:t xml:space="preserve">usługodawcę za pośrednictwem dedykowanego systemu </w:t>
      </w:r>
      <w:r w:rsidR="00FD7055" w:rsidRPr="000701EE">
        <w:t>tele</w:t>
      </w:r>
      <w:r w:rsidR="00E42744" w:rsidRPr="000701EE">
        <w:t xml:space="preserve">informatycznego, </w:t>
      </w:r>
      <w:r w:rsidR="00FD7055" w:rsidRPr="000701EE">
        <w:t xml:space="preserve">o którym </w:t>
      </w:r>
      <w:r w:rsidR="0042441B">
        <w:t xml:space="preserve">   </w:t>
      </w:r>
      <w:r w:rsidR="00FD7055" w:rsidRPr="000701EE">
        <w:t>mowa w § 3,</w:t>
      </w:r>
      <w:r w:rsidR="00FD7055">
        <w:t xml:space="preserve"> </w:t>
      </w:r>
      <w:r w:rsidR="00E42744">
        <w:t xml:space="preserve">w terminie do 10. </w:t>
      </w:r>
      <w:r w:rsidR="00E42744" w:rsidRPr="005379B0">
        <w:t>dnia miesiąca następującego po</w:t>
      </w:r>
      <w:r w:rsidR="00882208">
        <w:t xml:space="preserve"> miesiącu, </w:t>
      </w:r>
      <w:r w:rsidR="00FB07D4" w:rsidRPr="00805380">
        <w:t xml:space="preserve">w którym </w:t>
      </w:r>
      <w:r w:rsidR="00D87FE9">
        <w:t xml:space="preserve"> </w:t>
      </w:r>
      <w:bookmarkStart w:id="0" w:name="_GoBack"/>
      <w:bookmarkEnd w:id="0"/>
      <w:r w:rsidR="00FB07D4" w:rsidRPr="00805380">
        <w:t>zakończono hospitalizację usługobiorcy</w:t>
      </w:r>
      <w:r w:rsidR="00FB07D4">
        <w:t>.</w:t>
      </w:r>
    </w:p>
    <w:p w14:paraId="27B954E7" w14:textId="77777777" w:rsidR="00D55731" w:rsidRDefault="00D55731" w:rsidP="00D55731">
      <w:pPr>
        <w:pStyle w:val="ARTartustawynprozporzdzenia"/>
      </w:pPr>
      <w:r>
        <w:rPr>
          <w:rStyle w:val="Ppogrubienie"/>
        </w:rPr>
        <w:t xml:space="preserve">§ 7. </w:t>
      </w:r>
      <w:r>
        <w:t xml:space="preserve">1. </w:t>
      </w:r>
      <w:r w:rsidRPr="00DD6910">
        <w:t xml:space="preserve">Uruchomienie rejestru </w:t>
      </w:r>
      <w:r>
        <w:t>nastąpi</w:t>
      </w:r>
      <w:r w:rsidRPr="00DD6910">
        <w:t xml:space="preserve"> </w:t>
      </w:r>
      <w:r w:rsidR="00F75BAD">
        <w:t>nie później niż w terminie 6</w:t>
      </w:r>
      <w:r w:rsidRPr="00DD6910">
        <w:t xml:space="preserve"> miesięcy od dnia </w:t>
      </w:r>
      <w:r>
        <w:t xml:space="preserve"> </w:t>
      </w:r>
      <w:r w:rsidRPr="00DD6910">
        <w:t>wejścia w życie rozporządzenia.</w:t>
      </w:r>
    </w:p>
    <w:p w14:paraId="0BFAE189" w14:textId="02AA4721" w:rsidR="00D55731" w:rsidRDefault="00D55731" w:rsidP="00EA1955">
      <w:pPr>
        <w:pStyle w:val="ARTartustawynprozporzdzenia"/>
      </w:pPr>
      <w:r>
        <w:t xml:space="preserve">2. Podmiot prowadzący rejestr poinformuje usługodawców o terminie, w którym dane </w:t>
      </w:r>
      <w:r w:rsidR="0042441B">
        <w:t xml:space="preserve">         </w:t>
      </w:r>
      <w:r>
        <w:t xml:space="preserve">i </w:t>
      </w:r>
      <w:r w:rsidRPr="005379B0">
        <w:t>informacje, o których mowa w § 5</w:t>
      </w:r>
      <w:r>
        <w:t xml:space="preserve">, powinny zostać przekazane po raz pierwszy. </w:t>
      </w:r>
    </w:p>
    <w:p w14:paraId="32AB006A" w14:textId="77777777" w:rsidR="00854FF0" w:rsidRPr="00854FF0" w:rsidRDefault="00D55731" w:rsidP="007B5A07">
      <w:pPr>
        <w:pStyle w:val="ARTartustawynprozporzdzenia"/>
      </w:pPr>
      <w:r>
        <w:rPr>
          <w:rStyle w:val="Ppogrubienie"/>
        </w:rPr>
        <w:t>§ 8</w:t>
      </w:r>
      <w:r w:rsidR="008F7DB8" w:rsidRPr="00D63594">
        <w:rPr>
          <w:rStyle w:val="Ppogrubienie"/>
        </w:rPr>
        <w:t>.</w:t>
      </w:r>
      <w:r w:rsidR="008F7DB8" w:rsidRPr="00854FF0">
        <w:tab/>
        <w:t xml:space="preserve">Rozporządzenie wchodzi w życie po upływie 14 dni od dnia ogłoszenia. </w:t>
      </w:r>
    </w:p>
    <w:p w14:paraId="653BAC76" w14:textId="77777777" w:rsidR="00854FF0" w:rsidRPr="00854FF0" w:rsidRDefault="001C52D4" w:rsidP="00854FF0"/>
    <w:p w14:paraId="3D540F6C" w14:textId="77777777" w:rsidR="00854FF0" w:rsidRPr="00854FF0" w:rsidRDefault="008F7DB8" w:rsidP="00E57DA4">
      <w:pPr>
        <w:pStyle w:val="NAZORGWYDnazwaorganuwydajcegoprojektowanyakt"/>
      </w:pPr>
      <w:r w:rsidRPr="00854FF0">
        <w:tab/>
        <w:t xml:space="preserve">MINISTER ZDROWIA </w:t>
      </w:r>
    </w:p>
    <w:p w14:paraId="5CE072EE" w14:textId="77777777" w:rsidR="00854FF0" w:rsidRPr="00854FF0" w:rsidRDefault="001C52D4" w:rsidP="00854FF0"/>
    <w:p w14:paraId="29A6065B" w14:textId="77777777" w:rsidR="00854FF0" w:rsidRPr="00854FF0" w:rsidRDefault="001C52D4" w:rsidP="00854FF0"/>
    <w:p w14:paraId="614E8821" w14:textId="77777777" w:rsidR="00C37FDA" w:rsidRDefault="001C52D4" w:rsidP="00C37FDA"/>
    <w:p w14:paraId="1CC9473C" w14:textId="77777777" w:rsidR="00C37FDA" w:rsidRPr="00BD13D3" w:rsidRDefault="001C52D4" w:rsidP="00C37FDA">
      <w:pPr>
        <w:pStyle w:val="NIEARTTEKSTtekstnieartykuowanynppodstprawnarozplubpreambua"/>
        <w:rPr>
          <w:rStyle w:val="Kkursywa"/>
        </w:rPr>
      </w:pPr>
    </w:p>
    <w:p w14:paraId="70BE9C30" w14:textId="77777777" w:rsidR="00261A16" w:rsidRDefault="001C52D4" w:rsidP="00737F6A"/>
    <w:p w14:paraId="5B7AE402" w14:textId="77777777" w:rsidR="00D55731" w:rsidRDefault="00D55731" w:rsidP="00737F6A"/>
    <w:p w14:paraId="148A0343" w14:textId="77777777" w:rsidR="006004E4" w:rsidRDefault="006004E4" w:rsidP="00737F6A"/>
    <w:p w14:paraId="0DABCF59" w14:textId="77777777" w:rsidR="006004E4" w:rsidRDefault="006004E4" w:rsidP="00737F6A"/>
    <w:p w14:paraId="133E510B" w14:textId="77777777" w:rsidR="006004E4" w:rsidRDefault="006004E4" w:rsidP="00737F6A"/>
    <w:p w14:paraId="58B7BFF4" w14:textId="77777777" w:rsidR="006004E4" w:rsidRDefault="006004E4" w:rsidP="00737F6A"/>
    <w:p w14:paraId="1C4BCCE2" w14:textId="77777777" w:rsidR="006004E4" w:rsidRDefault="006004E4" w:rsidP="006004E4">
      <w:pPr>
        <w:pStyle w:val="TYTUAKTUprzedmiotregulacjiustawylubrozporzdzenia"/>
      </w:pPr>
    </w:p>
    <w:p w14:paraId="22FFBA64" w14:textId="77777777" w:rsidR="006004E4" w:rsidRDefault="006004E4" w:rsidP="006004E4">
      <w:pPr>
        <w:pStyle w:val="TYTUAKTUprzedmiotregulacjiustawylubrozporzdzenia"/>
      </w:pPr>
    </w:p>
    <w:p w14:paraId="479E6253" w14:textId="77777777" w:rsidR="006004E4" w:rsidRDefault="006004E4" w:rsidP="006004E4">
      <w:pPr>
        <w:pStyle w:val="TYTUAKTUprzedmiotregulacjiustawylubrozporzdzenia"/>
        <w:jc w:val="left"/>
      </w:pPr>
    </w:p>
    <w:p w14:paraId="222ED562" w14:textId="77777777" w:rsidR="006004E4" w:rsidRDefault="006004E4" w:rsidP="006004E4">
      <w:pPr>
        <w:pStyle w:val="TYTUAKTUprzedmiotregulacjiustawylubrozporzdzenia"/>
      </w:pPr>
    </w:p>
    <w:p w14:paraId="79BCD229" w14:textId="77777777" w:rsidR="006004E4" w:rsidRDefault="006004E4" w:rsidP="006004E4">
      <w:pPr>
        <w:pStyle w:val="TYTUAKTUprzedmiotregulacjiustawylubrozporzdzenia"/>
      </w:pPr>
    </w:p>
    <w:p w14:paraId="5BD76C9F" w14:textId="77777777" w:rsidR="006004E4" w:rsidRDefault="006004E4" w:rsidP="006004E4">
      <w:pPr>
        <w:pStyle w:val="TYTUAKTUprzedmiotregulacjiustawylubrozporzdzenia"/>
      </w:pPr>
    </w:p>
    <w:p w14:paraId="726F082B" w14:textId="77777777" w:rsidR="006004E4" w:rsidRDefault="006004E4" w:rsidP="006004E4">
      <w:pPr>
        <w:pStyle w:val="TYTUAKTUprzedmiotregulacjiustawylubrozporzdzenia"/>
      </w:pPr>
    </w:p>
    <w:p w14:paraId="289955DB" w14:textId="77777777" w:rsidR="006004E4" w:rsidRPr="006004E4" w:rsidRDefault="006004E4" w:rsidP="006004E4">
      <w:pPr>
        <w:pStyle w:val="TYTUAKTUprzedmiotregulacjiustawylubrozporzdzenia"/>
      </w:pPr>
      <w:r w:rsidRPr="006004E4">
        <w:t>Uzasadnienie</w:t>
      </w:r>
    </w:p>
    <w:p w14:paraId="1D7F6C55" w14:textId="77777777" w:rsidR="006004E4" w:rsidRPr="006004E4" w:rsidRDefault="006004E4" w:rsidP="006004E4">
      <w:pPr>
        <w:pStyle w:val="NIEARTTEKSTtekstnieartykuowanynppodstprawnarozplubpreambua"/>
      </w:pPr>
      <w:r w:rsidRPr="006004E4">
        <w:t>Projekt rozporządzenia stanowi wykonanie upoważnienia ustawowego zawartego w art. 20 ust. 1 ustawy z dnia 28 kwietnia 2011 r. o systemie inf</w:t>
      </w:r>
      <w:r>
        <w:t>ormacji w ochronie zdrowia (</w:t>
      </w:r>
      <w:r w:rsidRPr="006004E4">
        <w:t>Dz. U. z 2019 r. poz. 408 i 730).</w:t>
      </w:r>
    </w:p>
    <w:p w14:paraId="3C6BAE14" w14:textId="77777777" w:rsidR="006004E4" w:rsidRPr="006004E4" w:rsidRDefault="006004E4" w:rsidP="006004E4">
      <w:pPr>
        <w:pStyle w:val="ARTartustawynprozporzdzenia"/>
      </w:pPr>
      <w:r w:rsidRPr="006004E4">
        <w:t>Według stanu na koniec grudnia 2017 r. na wykonanie zabiegu endoprotezoplastyki stawu biodrowego oczekiwało około 102 tys. osób. Na zabieg endoprotezoplastyki stawu kolanowego oczekiwało ponad 118 tys. osób. Z danych zgromadzonych w Centralnej Bazie Endoprotezoplastyk, prowadzonej przez Narodowy Fundusz Zdrowia od 2005 r., w której są przetwarzane informacje o zrealizowanych świadczeniach endoprotezoplastyki stawowej, wynika, że w latach 2005-2017 w ramach zawartych z Narodowym Funduszem Zdrowia umów o udzielanie świadczeń opieki zdrowotnej świadczeniodawcy wykonali ponad 700 tys. endoprotezoplastyk stawowych, co daje średnią liczbę 58 333 operacji na rok.</w:t>
      </w:r>
    </w:p>
    <w:p w14:paraId="0A020DC2" w14:textId="77777777" w:rsidR="006004E4" w:rsidRPr="006004E4" w:rsidRDefault="006004E4" w:rsidP="006004E4">
      <w:pPr>
        <w:pStyle w:val="ARTartustawynprozporzdzenia"/>
      </w:pPr>
      <w:r w:rsidRPr="006004E4">
        <w:t>W 2017 r. przeprowadzono 87 488 zabiegów endoprotezoplastyki stawowej, z czego poszczególne rodzaje zabiegów wykonano w następujących liczbach:</w:t>
      </w:r>
    </w:p>
    <w:p w14:paraId="0BD692D0" w14:textId="77777777" w:rsidR="006004E4" w:rsidRPr="006004E4" w:rsidRDefault="006004E4" w:rsidP="006004E4">
      <w:pPr>
        <w:pStyle w:val="TIRtiret"/>
      </w:pPr>
      <w:r w:rsidRPr="006004E4">
        <w:t>58 688 endoprotezoplastyk stawu biodrowego (47 776 endoprotez całkowitych, 10 249 endoprotez częściowych oraz 663 zabiegi rewizyjne bez wymiany elementów wszczepu);</w:t>
      </w:r>
    </w:p>
    <w:p w14:paraId="41CAE60B" w14:textId="77777777" w:rsidR="006004E4" w:rsidRPr="006004E4" w:rsidRDefault="006004E4" w:rsidP="006004E4">
      <w:pPr>
        <w:pStyle w:val="TIRtiret"/>
      </w:pPr>
      <w:r w:rsidRPr="006004E4">
        <w:t>27 653 endoprotezoplastyki stawu kolanowego (25 425 endoprotezoplastyk całkowitych, 1 966 endoprotezoplastyk częściowych oraz 262 zabiegi rewizyjne bez wymiany elementów wszczepu);</w:t>
      </w:r>
    </w:p>
    <w:p w14:paraId="1FE7FB7B" w14:textId="77777777" w:rsidR="006004E4" w:rsidRPr="006004E4" w:rsidRDefault="006004E4" w:rsidP="006004E4">
      <w:pPr>
        <w:pStyle w:val="TIRtiret"/>
      </w:pPr>
      <w:r w:rsidRPr="006004E4">
        <w:t>707 endoprotezoplastyk stawu ramiennego;</w:t>
      </w:r>
    </w:p>
    <w:p w14:paraId="21A75C1A" w14:textId="77777777" w:rsidR="006004E4" w:rsidRPr="006004E4" w:rsidRDefault="006004E4" w:rsidP="006004E4">
      <w:pPr>
        <w:pStyle w:val="TIRtiret"/>
      </w:pPr>
      <w:r w:rsidRPr="006004E4">
        <w:t>189 endoprotezoplastyk stawu łokciowego;</w:t>
      </w:r>
    </w:p>
    <w:p w14:paraId="2C8510B0" w14:textId="77777777" w:rsidR="006004E4" w:rsidRPr="006004E4" w:rsidRDefault="006004E4" w:rsidP="006004E4">
      <w:pPr>
        <w:pStyle w:val="TIRtiret"/>
      </w:pPr>
      <w:r w:rsidRPr="006004E4">
        <w:t>251 endoprotezoplastyk innego stawu.</w:t>
      </w:r>
    </w:p>
    <w:p w14:paraId="07DDEF1B" w14:textId="77777777" w:rsidR="006004E4" w:rsidRPr="006004E4" w:rsidRDefault="006004E4" w:rsidP="006004E4">
      <w:pPr>
        <w:pStyle w:val="ARTartustawynprozporzdzenia"/>
      </w:pPr>
      <w:r w:rsidRPr="006004E4">
        <w:t xml:space="preserve">Wdrożenie rejestru wynika z konieczności zapewnienia systematycznego procesu monitorowania danych i wprowadzenia ustrukturyzowanego systemu, w którym będzie gromadzonych więcej informacji niż w ww. Centralnej Bazie Endoprotezoplastyk, w tym m.in. informacje o zabiegach rewizyjnych, co umożliwi poznanie rzeczywistego zapotrzebowania na endoprotezoplastykę pierwotną (wykonywaną po raz pierwszy), a także bardziej racjonalne projektowanie wydatków przeznaczanych na ten cel. </w:t>
      </w:r>
    </w:p>
    <w:p w14:paraId="682A9701" w14:textId="77777777" w:rsidR="006004E4" w:rsidRPr="006004E4" w:rsidRDefault="006004E4" w:rsidP="006004E4">
      <w:pPr>
        <w:pStyle w:val="ARTartustawynprozporzdzenia"/>
      </w:pPr>
      <w:r w:rsidRPr="006004E4">
        <w:t>Z przeprowadzeniem zabiegu endoprotezoplastyki mogą wiązać się powikłania takie jak: zwichnięcia protezy, krwiaki, złamania wokół protezy, choroba zakrzepowo-zatorowa,  infekcje. Powikłania mogą skutkować obniżeniem jakości życia, ograniczeniem lub wyłączeniem pacjenta z aktywnego uczestniczenia w życiu gospodarczym i społecznym, obciążaniem osób najbliższych pacjenta obowiązkiem opieki, która nie byłaby potrzebna w przypadku braku powikłań. Wszystkie te komplikacje mogą powodować obciążenia finansowe pacjentów. Najpoważniejszym skutkiem powikłań może być nawet śmierć pacjenta. W ramach skutków finansowych dotykających sektor finansów publicznych należy wskazać utratę możliwości zarobkowania przez pacjentów z nieleczonymi powikłaniami, a więc również wzrost obciążeń sektora finansów publicznych z powodu konieczności zapewnienia świadczeń rentowych takim pacjentom.</w:t>
      </w:r>
    </w:p>
    <w:p w14:paraId="44EFE40B" w14:textId="77777777" w:rsidR="006004E4" w:rsidRPr="006004E4" w:rsidRDefault="006004E4" w:rsidP="006004E4">
      <w:pPr>
        <w:pStyle w:val="ARTartustawynprozporzdzenia"/>
      </w:pPr>
      <w:r w:rsidRPr="006004E4">
        <w:t>W związku z istotnymi skutkami powikłań konieczne jest zapewnienie jak najwyższej jakości wykonywanych świadczeń. Projektowany rejestr będzie umożliwiać ocenę jakości zabiegów endoprotezoplastyki (zarówno w kontekście oceny jakości używanych implantów, jak i jakości stosowanych procedur). Oczekuje się, że na podstawie gromadzonych danych możliwe będzie określenie wskaźników jakości i efektywności, a w konsekwencji wypromowanie optymalnych i najbardziej korzystnych praktyk i rozwiązań oraz promocję najlepszych ośrodków. Poprawienie jakości endoprotezoplastyki będzie miało wpływ na jakość życia chorych, zmniejszenie liczby zabiegów rewizyjnych, a w konsekwencji obniżenie kosztów ponoszonych przez Narodowy Fundusz Zdrowia z tytułu realizacji ww. zabiegów.</w:t>
      </w:r>
    </w:p>
    <w:p w14:paraId="420C5C4D" w14:textId="77777777" w:rsidR="006004E4" w:rsidRPr="006004E4" w:rsidRDefault="006004E4" w:rsidP="006004E4">
      <w:pPr>
        <w:pStyle w:val="ARTartustawynprozporzdzenia"/>
      </w:pPr>
      <w:r w:rsidRPr="006004E4">
        <w:t xml:space="preserve">Koszt wykonanych zabiegów endoprotezoplastyki od 2005 r. rośnie, m.in. wskutek wzrostu liczby wykonywanych zabiegów. W 2005 r. przeznaczono na wykonanie tych zabiegów około 230 mln zł, a w 2017 r. - około 1,35 mld zł (w ujęciu średnim około 15 790 zł na jedną operację). Łącznie od 2005 r. na zabiegi endoprotezoplastyki wydano około 9 mld zł. </w:t>
      </w:r>
    </w:p>
    <w:p w14:paraId="6F3DDBCC" w14:textId="77777777" w:rsidR="006004E4" w:rsidRPr="006004E4" w:rsidRDefault="006004E4" w:rsidP="006004E4">
      <w:pPr>
        <w:pStyle w:val="ARTartustawynprozporzdzenia"/>
      </w:pPr>
      <w:r w:rsidRPr="006004E4">
        <w:t xml:space="preserve">Rejestr jest systemem przeznaczonym do przekazywania i gromadzenia danych o usługobiorcach, usługach i usługodawcach w sposób ustrukturyzowany, systematyczny, jednolity i nowoczesny. Prowadzenie rejestru w postaci elektronicznej ma na celu zapewnienie prostych rozwiązań gromadzenia i przekazywania danych. Wprowadzenie nowoczesnych metod wpisywania danych ma z kolei zapewnić wysoką jakość i wysokie prawdopodobieństwo poprawności gromadzonych danych. </w:t>
      </w:r>
    </w:p>
    <w:p w14:paraId="33261B8B" w14:textId="77777777" w:rsidR="006004E4" w:rsidRDefault="006004E4" w:rsidP="006004E4">
      <w:pPr>
        <w:pStyle w:val="ARTartustawynprozporzdzenia"/>
      </w:pPr>
      <w:r w:rsidRPr="006004E4">
        <w:t xml:space="preserve">Oczekuje się, że wraz z prowadzeniem rejestru sposób jego prowadzenia  może rozwijać się pod względem technicznym  i ulegać zmianom. </w:t>
      </w:r>
    </w:p>
    <w:p w14:paraId="57FB75D7" w14:textId="77777777" w:rsidR="006004E4" w:rsidRPr="006004E4" w:rsidRDefault="006004E4" w:rsidP="006004E4">
      <w:pPr>
        <w:pStyle w:val="ARTartustawynprozporzdzenia"/>
      </w:pPr>
      <w:r w:rsidRPr="006004E4">
        <w:t xml:space="preserve">Jednym z efektów prowadzenia rejestru będą analizy zgromadzonych danych przeprowadzone przez podmiot prowadzący rejestr, na jego zlecenie lub we współpracy z tym podmiotem. Analizy te będą dla ministra właściwego do spraw zdrowia głównym narzędziem umożliwiającym podejmowanie racjonalnych, opartych na sprawdzonych danych, decyzji związanych z podnoszeniem poziomu wykonywania ww. zadania publicznego oraz z działaniami zmierzającymi do jak najlepszego wypełniania celu istnienia rejestru. </w:t>
      </w:r>
    </w:p>
    <w:p w14:paraId="64E4AAD8" w14:textId="77777777" w:rsidR="006004E4" w:rsidRDefault="006004E4" w:rsidP="006004E4">
      <w:pPr>
        <w:pStyle w:val="ARTartustawynprozporzdzenia"/>
      </w:pPr>
      <w:r w:rsidRPr="006004E4">
        <w:t xml:space="preserve">Zaproponowany </w:t>
      </w:r>
      <w:r>
        <w:t xml:space="preserve">w § 5 projektowanego rozporządzenia </w:t>
      </w:r>
      <w:r w:rsidRPr="006004E4">
        <w:t>zakres danych stanowi podstawowy zakres danych niezbędnych do oceny zabiegów endoprotezoplastyk</w:t>
      </w:r>
      <w:r>
        <w:t>.</w:t>
      </w:r>
    </w:p>
    <w:p w14:paraId="337B1655" w14:textId="77777777" w:rsidR="006004E4" w:rsidRPr="006004E4" w:rsidRDefault="006004E4" w:rsidP="006004E4">
      <w:pPr>
        <w:pStyle w:val="ARTartustawynprozporzdzenia"/>
      </w:pPr>
      <w:r w:rsidRPr="006004E4">
        <w:t>Z uwagi na konieczność monitorowania chorobowości oraz konieczności oszacowania zapotrzebowania na zabiegi endoprotezoplastyki zdarzeniem inicjującym gromadzenie danych w rejestrze jest zarejestrowanie skierowania na zabieg endoprotezoplastyki. Zdarzeniem zamykającym monitorowanie zabiegu endoprotezoplastyki jest badanie sekcyjne wszczepionej endoprotezy.</w:t>
      </w:r>
    </w:p>
    <w:p w14:paraId="14148A02" w14:textId="77777777" w:rsidR="00F75BAD" w:rsidRDefault="00F75BAD" w:rsidP="00F75BAD">
      <w:pPr>
        <w:pStyle w:val="NIEARTTEKSTtekstnieartykuowanynppodstprawnarozplubpreambua"/>
      </w:pPr>
      <w:r w:rsidRPr="00F75BAD">
        <w:t xml:space="preserve">W projektowanym rozporządzeniu określono </w:t>
      </w:r>
      <w:r>
        <w:t xml:space="preserve">maksymalny </w:t>
      </w:r>
      <w:r w:rsidRPr="00F75BAD">
        <w:t>6-miesięczny termin na przeprowadzenie niezbędnych prac przygotowawczych, po upływie którego rejestr zostanie uruchomiony.</w:t>
      </w:r>
    </w:p>
    <w:p w14:paraId="72FF1B02" w14:textId="77777777" w:rsidR="00F75BAD" w:rsidRPr="00F75BAD" w:rsidRDefault="00F75BAD" w:rsidP="00F75BAD">
      <w:pPr>
        <w:pStyle w:val="ARTartustawynprozporzdzenia"/>
      </w:pPr>
      <w:r w:rsidRPr="00F75BAD">
        <w:t>Proponuje się, aby projektowane rozporządzenie weszło w życie w terminie 14 dni od dnia ogłoszenia.</w:t>
      </w:r>
    </w:p>
    <w:p w14:paraId="3FBC02FA" w14:textId="77777777" w:rsidR="00607C23" w:rsidRDefault="00607C23" w:rsidP="00607C23">
      <w:pPr>
        <w:pStyle w:val="NIEARTTEKSTtekstnieartykuowanynppodstprawnarozplubpreambua"/>
      </w:pPr>
      <w:r w:rsidRPr="00607C23">
        <w:t>Przedmiotowy projekt może mieć wpływ na działalność mikroprzedsiębiorców oraz małych i średnich przedsiębiorców przez dostarczenie danych o jakości i efektywności wykonywanych przez nich procedur. Informacja ta może wpłynąć na poprawę jakości realizowanych przez nich świadczeń opieki zdrowotnej.</w:t>
      </w:r>
    </w:p>
    <w:p w14:paraId="2ACB165A" w14:textId="77777777" w:rsidR="00F75BAD" w:rsidRPr="00F75BAD" w:rsidRDefault="00F75BAD" w:rsidP="00F75BAD">
      <w:pPr>
        <w:pStyle w:val="NIEARTTEKSTtekstnieartykuowanynppodstprawnarozplubpreambua"/>
      </w:pPr>
      <w:r w:rsidRPr="00F75BAD">
        <w:t xml:space="preserve">Projekt rozporządzenia nie podlega procedurze notyfikacji w rozumieniu przepisów rozporządzenia Rady Ministrów z dnia 23 grudnia 2002 r. w sprawie sposobu funkcjonowania krajowego systemu notyfikacji norm i aktów prawnych (Dz. U. poz. 2039 oraz z 2004 r. poz. 597). </w:t>
      </w:r>
    </w:p>
    <w:p w14:paraId="4C2532E4" w14:textId="77777777" w:rsidR="00F75BAD" w:rsidRPr="00F75BAD" w:rsidRDefault="00F75BAD" w:rsidP="00F75BAD">
      <w:pPr>
        <w:pStyle w:val="NIEARTTEKSTtekstnieartykuowanynppodstprawnarozplubpreambua"/>
      </w:pPr>
      <w:r w:rsidRPr="00F75BAD">
        <w:t>Projekt rozporządzenia nie wymaga przedstawienia organom i instytucjom Unii Europejskiej, w tym Europejskiemu Bankowi Centralnemu, w celu uzyskania opinii, dokonania powiadomienia, konsultacji albo uzgodnienia.</w:t>
      </w:r>
    </w:p>
    <w:p w14:paraId="4A1E3782" w14:textId="77777777" w:rsidR="00F75BAD" w:rsidRPr="00F75BAD" w:rsidRDefault="00F75BAD" w:rsidP="00F75BAD">
      <w:pPr>
        <w:pStyle w:val="NIEARTTEKSTtekstnieartykuowanynppodstprawnarozplubpreambua"/>
      </w:pPr>
      <w:r w:rsidRPr="00F75BAD">
        <w:t>Projekt rozporządzenia jest zgodny z prawem Unii Europejskiej.</w:t>
      </w:r>
    </w:p>
    <w:p w14:paraId="04445889" w14:textId="77777777" w:rsidR="00F75BAD" w:rsidRPr="00F75BAD" w:rsidRDefault="00F75BAD" w:rsidP="00F75BAD">
      <w:pPr>
        <w:pStyle w:val="NIEARTTEKSTtekstnieartykuowanynppodstprawnarozplubpreambua"/>
      </w:pPr>
      <w:r w:rsidRPr="00F75BAD">
        <w:t xml:space="preserve"> Nie ma możliwości podjęcia alternatywnych w stosunku do projektowanego rozporządzenia środków umożliwiających osiągnięcie zamierzonego celu.</w:t>
      </w:r>
    </w:p>
    <w:p w14:paraId="4D053F3C" w14:textId="77777777" w:rsidR="00F75BAD" w:rsidRPr="00F75BAD" w:rsidRDefault="00F75BAD" w:rsidP="00F75BAD">
      <w:pPr>
        <w:pStyle w:val="NIEARTTEKSTtekstnieartykuowanynppodstprawnarozplubpreambua"/>
      </w:pPr>
    </w:p>
    <w:p w14:paraId="5D57B4DD" w14:textId="77777777" w:rsidR="00F75BAD" w:rsidRPr="00737F6A" w:rsidRDefault="00F75BAD" w:rsidP="00737F6A"/>
    <w:sectPr w:rsidR="00F75BAD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C9671" w14:textId="77777777" w:rsidR="001C52D4" w:rsidRDefault="001C52D4">
      <w:pPr>
        <w:spacing w:line="240" w:lineRule="auto"/>
      </w:pPr>
      <w:r>
        <w:separator/>
      </w:r>
    </w:p>
  </w:endnote>
  <w:endnote w:type="continuationSeparator" w:id="0">
    <w:p w14:paraId="525D082C" w14:textId="77777777" w:rsidR="001C52D4" w:rsidRDefault="001C5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74562" w14:textId="77777777" w:rsidR="001C52D4" w:rsidRDefault="001C52D4">
      <w:r>
        <w:separator/>
      </w:r>
    </w:p>
  </w:footnote>
  <w:footnote w:type="continuationSeparator" w:id="0">
    <w:p w14:paraId="2BCFD4FB" w14:textId="77777777" w:rsidR="001C52D4" w:rsidRDefault="001C52D4">
      <w:r>
        <w:continuationSeparator/>
      </w:r>
    </w:p>
  </w:footnote>
  <w:footnote w:id="1">
    <w:p w14:paraId="1A852624" w14:textId="77777777" w:rsidR="00854FF0" w:rsidRDefault="008F7DB8" w:rsidP="00854FF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 w:rsidRPr="00854FF0">
        <w:t>Minister Zdrowia kieruje działem administracji rządowej – zdrowie, na podstawie § 1 ust. 2 rozporządzenia Prezesa Rady Ministrów z dnia 10 stycznia 2018 r. w sprawie szczegółowego zakresu działania Ministra Zdrowia (Dz. U. poz. 95).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6FBA7" w14:textId="77777777" w:rsidR="00CC3E3D" w:rsidRPr="00B371CC" w:rsidRDefault="008F7DB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87FE9">
      <w:rPr>
        <w:noProof/>
      </w:rPr>
      <w:t>10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F884836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D4AEC56A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FB26A130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177A1AA4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6E06385C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B2FE5E00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914EFCE4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5D20EF7A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D9063C7E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35D0BC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7B02864" w:tentative="1">
      <w:start w:val="1"/>
      <w:numFmt w:val="lowerLetter"/>
      <w:lvlText w:val="%2."/>
      <w:lvlJc w:val="left"/>
      <w:pPr>
        <w:ind w:left="1440" w:hanging="360"/>
      </w:pPr>
    </w:lvl>
    <w:lvl w:ilvl="2" w:tplc="083077D4" w:tentative="1">
      <w:start w:val="1"/>
      <w:numFmt w:val="lowerRoman"/>
      <w:lvlText w:val="%3."/>
      <w:lvlJc w:val="right"/>
      <w:pPr>
        <w:ind w:left="2160" w:hanging="180"/>
      </w:pPr>
    </w:lvl>
    <w:lvl w:ilvl="3" w:tplc="82D6DC4C" w:tentative="1">
      <w:start w:val="1"/>
      <w:numFmt w:val="decimal"/>
      <w:lvlText w:val="%4."/>
      <w:lvlJc w:val="left"/>
      <w:pPr>
        <w:ind w:left="2880" w:hanging="360"/>
      </w:pPr>
    </w:lvl>
    <w:lvl w:ilvl="4" w:tplc="E028E1AE" w:tentative="1">
      <w:start w:val="1"/>
      <w:numFmt w:val="lowerLetter"/>
      <w:lvlText w:val="%5."/>
      <w:lvlJc w:val="left"/>
      <w:pPr>
        <w:ind w:left="3600" w:hanging="360"/>
      </w:pPr>
    </w:lvl>
    <w:lvl w:ilvl="5" w:tplc="85745B54" w:tentative="1">
      <w:start w:val="1"/>
      <w:numFmt w:val="lowerRoman"/>
      <w:lvlText w:val="%6."/>
      <w:lvlJc w:val="right"/>
      <w:pPr>
        <w:ind w:left="4320" w:hanging="180"/>
      </w:pPr>
    </w:lvl>
    <w:lvl w:ilvl="6" w:tplc="379811F4" w:tentative="1">
      <w:start w:val="1"/>
      <w:numFmt w:val="decimal"/>
      <w:lvlText w:val="%7."/>
      <w:lvlJc w:val="left"/>
      <w:pPr>
        <w:ind w:left="5040" w:hanging="360"/>
      </w:pPr>
    </w:lvl>
    <w:lvl w:ilvl="7" w:tplc="41DC208E" w:tentative="1">
      <w:start w:val="1"/>
      <w:numFmt w:val="lowerLetter"/>
      <w:lvlText w:val="%8."/>
      <w:lvlJc w:val="left"/>
      <w:pPr>
        <w:ind w:left="5760" w:hanging="360"/>
      </w:pPr>
    </w:lvl>
    <w:lvl w:ilvl="8" w:tplc="3782EC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073A8774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FE9E8540" w:tentative="1">
      <w:start w:val="1"/>
      <w:numFmt w:val="lowerLetter"/>
      <w:lvlText w:val="%2."/>
      <w:lvlJc w:val="left"/>
      <w:pPr>
        <w:ind w:left="2463" w:hanging="360"/>
      </w:pPr>
    </w:lvl>
    <w:lvl w:ilvl="2" w:tplc="79144F6E" w:tentative="1">
      <w:start w:val="1"/>
      <w:numFmt w:val="lowerRoman"/>
      <w:lvlText w:val="%3."/>
      <w:lvlJc w:val="right"/>
      <w:pPr>
        <w:ind w:left="3183" w:hanging="180"/>
      </w:pPr>
    </w:lvl>
    <w:lvl w:ilvl="3" w:tplc="C87010B2" w:tentative="1">
      <w:start w:val="1"/>
      <w:numFmt w:val="decimal"/>
      <w:lvlText w:val="%4."/>
      <w:lvlJc w:val="left"/>
      <w:pPr>
        <w:ind w:left="3903" w:hanging="360"/>
      </w:pPr>
    </w:lvl>
    <w:lvl w:ilvl="4" w:tplc="F1AAAE6C" w:tentative="1">
      <w:start w:val="1"/>
      <w:numFmt w:val="lowerLetter"/>
      <w:lvlText w:val="%5."/>
      <w:lvlJc w:val="left"/>
      <w:pPr>
        <w:ind w:left="4623" w:hanging="360"/>
      </w:pPr>
    </w:lvl>
    <w:lvl w:ilvl="5" w:tplc="ED684A78" w:tentative="1">
      <w:start w:val="1"/>
      <w:numFmt w:val="lowerRoman"/>
      <w:lvlText w:val="%6."/>
      <w:lvlJc w:val="right"/>
      <w:pPr>
        <w:ind w:left="5343" w:hanging="180"/>
      </w:pPr>
    </w:lvl>
    <w:lvl w:ilvl="6" w:tplc="7358511A" w:tentative="1">
      <w:start w:val="1"/>
      <w:numFmt w:val="decimal"/>
      <w:lvlText w:val="%7."/>
      <w:lvlJc w:val="left"/>
      <w:pPr>
        <w:ind w:left="6063" w:hanging="360"/>
      </w:pPr>
    </w:lvl>
    <w:lvl w:ilvl="7" w:tplc="AA6C8244" w:tentative="1">
      <w:start w:val="1"/>
      <w:numFmt w:val="lowerLetter"/>
      <w:lvlText w:val="%8."/>
      <w:lvlJc w:val="left"/>
      <w:pPr>
        <w:ind w:left="6783" w:hanging="360"/>
      </w:pPr>
    </w:lvl>
    <w:lvl w:ilvl="8" w:tplc="0C545F0C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E00CEC6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402A5E0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2A020BA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CA1E8BFE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23FE29D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333E2A7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A5B0E06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621A09D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3164444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216A313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E67A5FDE" w:tentative="1">
      <w:start w:val="1"/>
      <w:numFmt w:val="lowerLetter"/>
      <w:lvlText w:val="%2."/>
      <w:lvlJc w:val="left"/>
      <w:pPr>
        <w:ind w:left="1440" w:hanging="360"/>
      </w:pPr>
    </w:lvl>
    <w:lvl w:ilvl="2" w:tplc="31AC09F6" w:tentative="1">
      <w:start w:val="1"/>
      <w:numFmt w:val="lowerRoman"/>
      <w:lvlText w:val="%3."/>
      <w:lvlJc w:val="right"/>
      <w:pPr>
        <w:ind w:left="2160" w:hanging="180"/>
      </w:pPr>
    </w:lvl>
    <w:lvl w:ilvl="3" w:tplc="7AFA260E" w:tentative="1">
      <w:start w:val="1"/>
      <w:numFmt w:val="decimal"/>
      <w:lvlText w:val="%4."/>
      <w:lvlJc w:val="left"/>
      <w:pPr>
        <w:ind w:left="2880" w:hanging="360"/>
      </w:pPr>
    </w:lvl>
    <w:lvl w:ilvl="4" w:tplc="6AC215F0" w:tentative="1">
      <w:start w:val="1"/>
      <w:numFmt w:val="lowerLetter"/>
      <w:lvlText w:val="%5."/>
      <w:lvlJc w:val="left"/>
      <w:pPr>
        <w:ind w:left="3600" w:hanging="360"/>
      </w:pPr>
    </w:lvl>
    <w:lvl w:ilvl="5" w:tplc="E23CC7BE" w:tentative="1">
      <w:start w:val="1"/>
      <w:numFmt w:val="lowerRoman"/>
      <w:lvlText w:val="%6."/>
      <w:lvlJc w:val="right"/>
      <w:pPr>
        <w:ind w:left="4320" w:hanging="180"/>
      </w:pPr>
    </w:lvl>
    <w:lvl w:ilvl="6" w:tplc="3F9EF0DA" w:tentative="1">
      <w:start w:val="1"/>
      <w:numFmt w:val="decimal"/>
      <w:lvlText w:val="%7."/>
      <w:lvlJc w:val="left"/>
      <w:pPr>
        <w:ind w:left="5040" w:hanging="360"/>
      </w:pPr>
    </w:lvl>
    <w:lvl w:ilvl="7" w:tplc="A57C1EA0" w:tentative="1">
      <w:start w:val="1"/>
      <w:numFmt w:val="lowerLetter"/>
      <w:lvlText w:val="%8."/>
      <w:lvlJc w:val="left"/>
      <w:pPr>
        <w:ind w:left="5760" w:hanging="360"/>
      </w:pPr>
    </w:lvl>
    <w:lvl w:ilvl="8" w:tplc="3A2E7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6FB4F02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ADAE8070" w:tentative="1">
      <w:start w:val="1"/>
      <w:numFmt w:val="lowerLetter"/>
      <w:lvlText w:val="%2."/>
      <w:lvlJc w:val="left"/>
      <w:pPr>
        <w:ind w:left="3348" w:hanging="360"/>
      </w:pPr>
    </w:lvl>
    <w:lvl w:ilvl="2" w:tplc="AD2029A8" w:tentative="1">
      <w:start w:val="1"/>
      <w:numFmt w:val="lowerRoman"/>
      <w:lvlText w:val="%3."/>
      <w:lvlJc w:val="right"/>
      <w:pPr>
        <w:ind w:left="4068" w:hanging="180"/>
      </w:pPr>
    </w:lvl>
    <w:lvl w:ilvl="3" w:tplc="881C3EF8" w:tentative="1">
      <w:start w:val="1"/>
      <w:numFmt w:val="decimal"/>
      <w:lvlText w:val="%4."/>
      <w:lvlJc w:val="left"/>
      <w:pPr>
        <w:ind w:left="4788" w:hanging="360"/>
      </w:pPr>
    </w:lvl>
    <w:lvl w:ilvl="4" w:tplc="1214F8BE" w:tentative="1">
      <w:start w:val="1"/>
      <w:numFmt w:val="lowerLetter"/>
      <w:lvlText w:val="%5."/>
      <w:lvlJc w:val="left"/>
      <w:pPr>
        <w:ind w:left="5508" w:hanging="360"/>
      </w:pPr>
    </w:lvl>
    <w:lvl w:ilvl="5" w:tplc="4FCA47B8" w:tentative="1">
      <w:start w:val="1"/>
      <w:numFmt w:val="lowerRoman"/>
      <w:lvlText w:val="%6."/>
      <w:lvlJc w:val="right"/>
      <w:pPr>
        <w:ind w:left="6228" w:hanging="180"/>
      </w:pPr>
    </w:lvl>
    <w:lvl w:ilvl="6" w:tplc="AD9E0E9E" w:tentative="1">
      <w:start w:val="1"/>
      <w:numFmt w:val="decimal"/>
      <w:lvlText w:val="%7."/>
      <w:lvlJc w:val="left"/>
      <w:pPr>
        <w:ind w:left="6948" w:hanging="360"/>
      </w:pPr>
    </w:lvl>
    <w:lvl w:ilvl="7" w:tplc="3490029A" w:tentative="1">
      <w:start w:val="1"/>
      <w:numFmt w:val="lowerLetter"/>
      <w:lvlText w:val="%8."/>
      <w:lvlJc w:val="left"/>
      <w:pPr>
        <w:ind w:left="7668" w:hanging="360"/>
      </w:pPr>
    </w:lvl>
    <w:lvl w:ilvl="8" w:tplc="2FBA6666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8EB8C66C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C038D59A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1FB4910E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480C4272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81A4DCBC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9C06FE5C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BB147AF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9E26B9BC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1B0E2E96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575C63"/>
    <w:multiLevelType w:val="hybridMultilevel"/>
    <w:tmpl w:val="F202F1EC"/>
    <w:lvl w:ilvl="0" w:tplc="23AAB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A5D148C"/>
    <w:multiLevelType w:val="hybridMultilevel"/>
    <w:tmpl w:val="CA025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BE20CA"/>
    <w:multiLevelType w:val="hybridMultilevel"/>
    <w:tmpl w:val="E6EEC812"/>
    <w:lvl w:ilvl="0" w:tplc="0B4E2A52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FCC0E2FC" w:tentative="1">
      <w:start w:val="1"/>
      <w:numFmt w:val="lowerLetter"/>
      <w:lvlText w:val="%2."/>
      <w:lvlJc w:val="left"/>
      <w:pPr>
        <w:ind w:left="2463" w:hanging="360"/>
      </w:pPr>
    </w:lvl>
    <w:lvl w:ilvl="2" w:tplc="89B68BC6" w:tentative="1">
      <w:start w:val="1"/>
      <w:numFmt w:val="lowerRoman"/>
      <w:lvlText w:val="%3."/>
      <w:lvlJc w:val="right"/>
      <w:pPr>
        <w:ind w:left="3183" w:hanging="180"/>
      </w:pPr>
    </w:lvl>
    <w:lvl w:ilvl="3" w:tplc="A9804138" w:tentative="1">
      <w:start w:val="1"/>
      <w:numFmt w:val="decimal"/>
      <w:lvlText w:val="%4."/>
      <w:lvlJc w:val="left"/>
      <w:pPr>
        <w:ind w:left="3903" w:hanging="360"/>
      </w:pPr>
    </w:lvl>
    <w:lvl w:ilvl="4" w:tplc="816EC762" w:tentative="1">
      <w:start w:val="1"/>
      <w:numFmt w:val="lowerLetter"/>
      <w:lvlText w:val="%5."/>
      <w:lvlJc w:val="left"/>
      <w:pPr>
        <w:ind w:left="4623" w:hanging="360"/>
      </w:pPr>
    </w:lvl>
    <w:lvl w:ilvl="5" w:tplc="9410A710" w:tentative="1">
      <w:start w:val="1"/>
      <w:numFmt w:val="lowerRoman"/>
      <w:lvlText w:val="%6."/>
      <w:lvlJc w:val="right"/>
      <w:pPr>
        <w:ind w:left="5343" w:hanging="180"/>
      </w:pPr>
    </w:lvl>
    <w:lvl w:ilvl="6" w:tplc="7AFED5E4" w:tentative="1">
      <w:start w:val="1"/>
      <w:numFmt w:val="decimal"/>
      <w:lvlText w:val="%7."/>
      <w:lvlJc w:val="left"/>
      <w:pPr>
        <w:ind w:left="6063" w:hanging="360"/>
      </w:pPr>
    </w:lvl>
    <w:lvl w:ilvl="7" w:tplc="2AF8C988" w:tentative="1">
      <w:start w:val="1"/>
      <w:numFmt w:val="lowerLetter"/>
      <w:lvlText w:val="%8."/>
      <w:lvlJc w:val="left"/>
      <w:pPr>
        <w:ind w:left="6783" w:hanging="360"/>
      </w:pPr>
    </w:lvl>
    <w:lvl w:ilvl="8" w:tplc="F092D3F0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5C3CEF04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F08E39F8" w:tentative="1">
      <w:start w:val="1"/>
      <w:numFmt w:val="lowerLetter"/>
      <w:lvlText w:val="%2."/>
      <w:lvlJc w:val="left"/>
      <w:pPr>
        <w:ind w:left="2463" w:hanging="360"/>
      </w:pPr>
    </w:lvl>
    <w:lvl w:ilvl="2" w:tplc="3198040A" w:tentative="1">
      <w:start w:val="1"/>
      <w:numFmt w:val="lowerRoman"/>
      <w:lvlText w:val="%3."/>
      <w:lvlJc w:val="right"/>
      <w:pPr>
        <w:ind w:left="3183" w:hanging="180"/>
      </w:pPr>
    </w:lvl>
    <w:lvl w:ilvl="3" w:tplc="55923938" w:tentative="1">
      <w:start w:val="1"/>
      <w:numFmt w:val="decimal"/>
      <w:lvlText w:val="%4."/>
      <w:lvlJc w:val="left"/>
      <w:pPr>
        <w:ind w:left="3903" w:hanging="360"/>
      </w:pPr>
    </w:lvl>
    <w:lvl w:ilvl="4" w:tplc="7CA410C0" w:tentative="1">
      <w:start w:val="1"/>
      <w:numFmt w:val="lowerLetter"/>
      <w:lvlText w:val="%5."/>
      <w:lvlJc w:val="left"/>
      <w:pPr>
        <w:ind w:left="4623" w:hanging="360"/>
      </w:pPr>
    </w:lvl>
    <w:lvl w:ilvl="5" w:tplc="0764E58A" w:tentative="1">
      <w:start w:val="1"/>
      <w:numFmt w:val="lowerRoman"/>
      <w:lvlText w:val="%6."/>
      <w:lvlJc w:val="right"/>
      <w:pPr>
        <w:ind w:left="5343" w:hanging="180"/>
      </w:pPr>
    </w:lvl>
    <w:lvl w:ilvl="6" w:tplc="63E24B28" w:tentative="1">
      <w:start w:val="1"/>
      <w:numFmt w:val="decimal"/>
      <w:lvlText w:val="%7."/>
      <w:lvlJc w:val="left"/>
      <w:pPr>
        <w:ind w:left="6063" w:hanging="360"/>
      </w:pPr>
    </w:lvl>
    <w:lvl w:ilvl="7" w:tplc="967C88E8" w:tentative="1">
      <w:start w:val="1"/>
      <w:numFmt w:val="lowerLetter"/>
      <w:lvlText w:val="%8."/>
      <w:lvlJc w:val="left"/>
      <w:pPr>
        <w:ind w:left="6783" w:hanging="360"/>
      </w:pPr>
    </w:lvl>
    <w:lvl w:ilvl="8" w:tplc="B9B6282A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8A30B7F"/>
    <w:multiLevelType w:val="hybridMultilevel"/>
    <w:tmpl w:val="77A6B130"/>
    <w:lvl w:ilvl="0" w:tplc="04150011">
      <w:start w:val="1"/>
      <w:numFmt w:val="decimal"/>
      <w:lvlText w:val="%1)"/>
      <w:lvlJc w:val="left"/>
      <w:pPr>
        <w:ind w:left="1707" w:hanging="360"/>
      </w:pPr>
    </w:lvl>
    <w:lvl w:ilvl="1" w:tplc="04150019">
      <w:start w:val="1"/>
      <w:numFmt w:val="lowerLetter"/>
      <w:lvlText w:val="%2."/>
      <w:lvlJc w:val="left"/>
      <w:pPr>
        <w:ind w:left="2427" w:hanging="360"/>
      </w:pPr>
    </w:lvl>
    <w:lvl w:ilvl="2" w:tplc="0415001B">
      <w:start w:val="1"/>
      <w:numFmt w:val="lowerRoman"/>
      <w:lvlText w:val="%3."/>
      <w:lvlJc w:val="right"/>
      <w:pPr>
        <w:ind w:left="3147" w:hanging="180"/>
      </w:pPr>
    </w:lvl>
    <w:lvl w:ilvl="3" w:tplc="0415000F">
      <w:start w:val="1"/>
      <w:numFmt w:val="decimal"/>
      <w:lvlText w:val="%4."/>
      <w:lvlJc w:val="left"/>
      <w:pPr>
        <w:ind w:left="3867" w:hanging="360"/>
      </w:pPr>
    </w:lvl>
    <w:lvl w:ilvl="4" w:tplc="04150019">
      <w:start w:val="1"/>
      <w:numFmt w:val="lowerLetter"/>
      <w:lvlText w:val="%5."/>
      <w:lvlJc w:val="left"/>
      <w:pPr>
        <w:ind w:left="4587" w:hanging="360"/>
      </w:pPr>
    </w:lvl>
    <w:lvl w:ilvl="5" w:tplc="0415001B">
      <w:start w:val="1"/>
      <w:numFmt w:val="lowerRoman"/>
      <w:lvlText w:val="%6."/>
      <w:lvlJc w:val="right"/>
      <w:pPr>
        <w:ind w:left="5307" w:hanging="180"/>
      </w:pPr>
    </w:lvl>
    <w:lvl w:ilvl="6" w:tplc="0415000F">
      <w:start w:val="1"/>
      <w:numFmt w:val="decimal"/>
      <w:lvlText w:val="%7."/>
      <w:lvlJc w:val="left"/>
      <w:pPr>
        <w:ind w:left="6027" w:hanging="360"/>
      </w:pPr>
    </w:lvl>
    <w:lvl w:ilvl="7" w:tplc="04150019">
      <w:start w:val="1"/>
      <w:numFmt w:val="lowerLetter"/>
      <w:lvlText w:val="%8."/>
      <w:lvlJc w:val="left"/>
      <w:pPr>
        <w:ind w:left="6747" w:hanging="360"/>
      </w:pPr>
    </w:lvl>
    <w:lvl w:ilvl="8" w:tplc="0415001B">
      <w:start w:val="1"/>
      <w:numFmt w:val="lowerRoman"/>
      <w:lvlText w:val="%9."/>
      <w:lvlJc w:val="right"/>
      <w:pPr>
        <w:ind w:left="7467" w:hanging="180"/>
      </w:pPr>
    </w:lvl>
  </w:abstractNum>
  <w:abstractNum w:abstractNumId="35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FAE40EF"/>
    <w:multiLevelType w:val="hybridMultilevel"/>
    <w:tmpl w:val="47F848EC"/>
    <w:lvl w:ilvl="0" w:tplc="4DE6D1F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5562ED30" w:tentative="1">
      <w:start w:val="1"/>
      <w:numFmt w:val="lowerLetter"/>
      <w:lvlText w:val="%2."/>
      <w:lvlJc w:val="left"/>
      <w:pPr>
        <w:ind w:left="3348" w:hanging="360"/>
      </w:pPr>
    </w:lvl>
    <w:lvl w:ilvl="2" w:tplc="0F92BB6A" w:tentative="1">
      <w:start w:val="1"/>
      <w:numFmt w:val="lowerRoman"/>
      <w:lvlText w:val="%3."/>
      <w:lvlJc w:val="right"/>
      <w:pPr>
        <w:ind w:left="4068" w:hanging="180"/>
      </w:pPr>
    </w:lvl>
    <w:lvl w:ilvl="3" w:tplc="5C965DB4" w:tentative="1">
      <w:start w:val="1"/>
      <w:numFmt w:val="decimal"/>
      <w:lvlText w:val="%4."/>
      <w:lvlJc w:val="left"/>
      <w:pPr>
        <w:ind w:left="4788" w:hanging="360"/>
      </w:pPr>
    </w:lvl>
    <w:lvl w:ilvl="4" w:tplc="4E92B86E" w:tentative="1">
      <w:start w:val="1"/>
      <w:numFmt w:val="lowerLetter"/>
      <w:lvlText w:val="%5."/>
      <w:lvlJc w:val="left"/>
      <w:pPr>
        <w:ind w:left="5508" w:hanging="360"/>
      </w:pPr>
    </w:lvl>
    <w:lvl w:ilvl="5" w:tplc="EC1463C0" w:tentative="1">
      <w:start w:val="1"/>
      <w:numFmt w:val="lowerRoman"/>
      <w:lvlText w:val="%6."/>
      <w:lvlJc w:val="right"/>
      <w:pPr>
        <w:ind w:left="6228" w:hanging="180"/>
      </w:pPr>
    </w:lvl>
    <w:lvl w:ilvl="6" w:tplc="32544DE6" w:tentative="1">
      <w:start w:val="1"/>
      <w:numFmt w:val="decimal"/>
      <w:lvlText w:val="%7."/>
      <w:lvlJc w:val="left"/>
      <w:pPr>
        <w:ind w:left="6948" w:hanging="360"/>
      </w:pPr>
    </w:lvl>
    <w:lvl w:ilvl="7" w:tplc="DB640CC0" w:tentative="1">
      <w:start w:val="1"/>
      <w:numFmt w:val="lowerLetter"/>
      <w:lvlText w:val="%8."/>
      <w:lvlJc w:val="left"/>
      <w:pPr>
        <w:ind w:left="7668" w:hanging="360"/>
      </w:pPr>
    </w:lvl>
    <w:lvl w:ilvl="8" w:tplc="A0BCBE14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8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8"/>
  </w:num>
  <w:num w:numId="6">
    <w:abstractNumId w:val="33"/>
  </w:num>
  <w:num w:numId="7">
    <w:abstractNumId w:val="38"/>
  </w:num>
  <w:num w:numId="8">
    <w:abstractNumId w:val="33"/>
  </w:num>
  <w:num w:numId="9">
    <w:abstractNumId w:val="38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6"/>
  </w:num>
  <w:num w:numId="28">
    <w:abstractNumId w:val="25"/>
  </w:num>
  <w:num w:numId="29">
    <w:abstractNumId w:val="39"/>
  </w:num>
  <w:num w:numId="30">
    <w:abstractNumId w:val="35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4"/>
  </w:num>
  <w:num w:numId="39">
    <w:abstractNumId w:val="13"/>
  </w:num>
  <w:num w:numId="40">
    <w:abstractNumId w:val="31"/>
  </w:num>
  <w:num w:numId="41">
    <w:abstractNumId w:val="30"/>
  </w:num>
  <w:num w:numId="42">
    <w:abstractNumId w:val="21"/>
  </w:num>
  <w:num w:numId="43">
    <w:abstractNumId w:val="37"/>
  </w:num>
  <w:num w:numId="44">
    <w:abstractNumId w:val="1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B8"/>
    <w:rsid w:val="00006C55"/>
    <w:rsid w:val="000701EE"/>
    <w:rsid w:val="00176802"/>
    <w:rsid w:val="001C52D4"/>
    <w:rsid w:val="001F3A27"/>
    <w:rsid w:val="002E70F1"/>
    <w:rsid w:val="00374F97"/>
    <w:rsid w:val="003C25A6"/>
    <w:rsid w:val="003D4A2E"/>
    <w:rsid w:val="003D5CDE"/>
    <w:rsid w:val="0042441B"/>
    <w:rsid w:val="00475A18"/>
    <w:rsid w:val="00483979"/>
    <w:rsid w:val="00556FBE"/>
    <w:rsid w:val="005B7B53"/>
    <w:rsid w:val="005E4591"/>
    <w:rsid w:val="006004E4"/>
    <w:rsid w:val="00607C23"/>
    <w:rsid w:val="00624D19"/>
    <w:rsid w:val="006B4D50"/>
    <w:rsid w:val="006F5D06"/>
    <w:rsid w:val="007228DE"/>
    <w:rsid w:val="00882208"/>
    <w:rsid w:val="00886C8C"/>
    <w:rsid w:val="008F7DB8"/>
    <w:rsid w:val="00A93692"/>
    <w:rsid w:val="00B676AF"/>
    <w:rsid w:val="00BD38BE"/>
    <w:rsid w:val="00C45A29"/>
    <w:rsid w:val="00CB109C"/>
    <w:rsid w:val="00D55731"/>
    <w:rsid w:val="00D70674"/>
    <w:rsid w:val="00D83C45"/>
    <w:rsid w:val="00D87FE9"/>
    <w:rsid w:val="00E0380B"/>
    <w:rsid w:val="00E2128A"/>
    <w:rsid w:val="00E25672"/>
    <w:rsid w:val="00E32F88"/>
    <w:rsid w:val="00E42744"/>
    <w:rsid w:val="00E6222D"/>
    <w:rsid w:val="00EA1955"/>
    <w:rsid w:val="00F75BAD"/>
    <w:rsid w:val="00FB07D4"/>
    <w:rsid w:val="00FB1000"/>
    <w:rsid w:val="00FD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2FE6C"/>
  <w15:docId w15:val="{C1C41C9E-BBEA-4357-BB8A-02B87592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624D1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624D19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wozniak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D3ABE4-20CD-4D8E-BFE2-EE0CCB46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104</TotalTime>
  <Pages>10</Pages>
  <Words>2313</Words>
  <Characters>13187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Woźniak Anna</dc:creator>
  <cp:lastModifiedBy>Bułanowski Rafał</cp:lastModifiedBy>
  <cp:revision>31</cp:revision>
  <cp:lastPrinted>2012-04-23T06:39:00Z</cp:lastPrinted>
  <dcterms:created xsi:type="dcterms:W3CDTF">2018-10-25T14:21:00Z</dcterms:created>
  <dcterms:modified xsi:type="dcterms:W3CDTF">2019-10-08T11:26:00Z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